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2ECD" w:rsidRDefault="00046BDA" w:rsidP="00046BDA">
      <w:pPr>
        <w:pStyle w:val="Heading1"/>
        <w:jc w:val="center"/>
      </w:pPr>
      <w:r>
        <w:t xml:space="preserve">                                                                           </w:t>
      </w:r>
      <w:r w:rsidR="005B624D">
        <w:t xml:space="preserve"> </w:t>
      </w:r>
      <w:r w:rsidR="00393079">
        <w:t>ЗАТВЕРДЖЕНО</w:t>
      </w:r>
    </w:p>
    <w:p w:rsidR="00B52ECD" w:rsidRDefault="00560E8F" w:rsidP="00B52ECD">
      <w:pPr>
        <w:pStyle w:val="Heading1"/>
        <w:ind w:left="5760" w:firstLine="720"/>
      </w:pPr>
      <w:r>
        <w:t>Р</w:t>
      </w:r>
      <w:r w:rsidR="008D6016">
        <w:t>озпорядження</w:t>
      </w:r>
      <w:r w:rsidR="00393079">
        <w:t xml:space="preserve"> голови                                                   </w:t>
      </w:r>
    </w:p>
    <w:p w:rsidR="00393079" w:rsidRDefault="00393079" w:rsidP="00B52ECD">
      <w:pPr>
        <w:pStyle w:val="Heading1"/>
        <w:ind w:left="5760" w:firstLine="720"/>
      </w:pPr>
      <w:r>
        <w:t>облдержадміністрації</w:t>
      </w:r>
    </w:p>
    <w:p w:rsidR="00393079" w:rsidRDefault="00393079">
      <w:pPr>
        <w:jc w:val="both"/>
        <w:rPr>
          <w:sz w:val="28"/>
        </w:rPr>
      </w:pPr>
      <w:r>
        <w:rPr>
          <w:sz w:val="28"/>
        </w:rPr>
        <w:t xml:space="preserve">                                                  </w:t>
      </w:r>
      <w:r w:rsidR="008D6016">
        <w:rPr>
          <w:sz w:val="28"/>
        </w:rPr>
        <w:t xml:space="preserve">                             </w:t>
      </w:r>
      <w:r>
        <w:rPr>
          <w:sz w:val="28"/>
        </w:rPr>
        <w:t xml:space="preserve">     </w:t>
      </w:r>
      <w:r w:rsidR="008454AA">
        <w:rPr>
          <w:sz w:val="28"/>
        </w:rPr>
        <w:t xml:space="preserve">         </w:t>
      </w:r>
      <w:r w:rsidR="00714635">
        <w:rPr>
          <w:sz w:val="28"/>
        </w:rPr>
        <w:t xml:space="preserve">30.11.2011 </w:t>
      </w:r>
      <w:r>
        <w:rPr>
          <w:sz w:val="28"/>
        </w:rPr>
        <w:t>№</w:t>
      </w:r>
      <w:r w:rsidR="00714635">
        <w:rPr>
          <w:sz w:val="28"/>
        </w:rPr>
        <w:t xml:space="preserve"> 469</w:t>
      </w:r>
    </w:p>
    <w:p w:rsidR="00354476" w:rsidRDefault="00354476">
      <w:pPr>
        <w:jc w:val="both"/>
        <w:rPr>
          <w:sz w:val="28"/>
        </w:rPr>
      </w:pPr>
    </w:p>
    <w:p w:rsidR="00354476" w:rsidRDefault="00354476">
      <w:pPr>
        <w:jc w:val="both"/>
        <w:rPr>
          <w:sz w:val="28"/>
        </w:rPr>
      </w:pPr>
    </w:p>
    <w:p w:rsidR="0055111E" w:rsidRDefault="009939FE">
      <w:pPr>
        <w:jc w:val="center"/>
        <w:rPr>
          <w:sz w:val="28"/>
          <w:szCs w:val="28"/>
        </w:rPr>
      </w:pPr>
      <w:r w:rsidRPr="004127DC">
        <w:rPr>
          <w:sz w:val="28"/>
          <w:szCs w:val="28"/>
        </w:rPr>
        <w:t xml:space="preserve">Обласні заходи </w:t>
      </w:r>
    </w:p>
    <w:p w:rsidR="00393079" w:rsidRPr="004127DC" w:rsidRDefault="009939FE">
      <w:pPr>
        <w:jc w:val="center"/>
        <w:rPr>
          <w:sz w:val="28"/>
          <w:szCs w:val="28"/>
        </w:rPr>
      </w:pPr>
      <w:r w:rsidRPr="004127DC">
        <w:rPr>
          <w:sz w:val="28"/>
          <w:szCs w:val="28"/>
        </w:rPr>
        <w:t xml:space="preserve">щодо </w:t>
      </w:r>
      <w:r w:rsidR="00DF4295">
        <w:rPr>
          <w:sz w:val="28"/>
          <w:szCs w:val="28"/>
        </w:rPr>
        <w:t>реалізації</w:t>
      </w:r>
      <w:r w:rsidR="00393079" w:rsidRPr="004127DC">
        <w:rPr>
          <w:sz w:val="28"/>
          <w:szCs w:val="28"/>
        </w:rPr>
        <w:t xml:space="preserve"> </w:t>
      </w:r>
      <w:r w:rsidR="00134232" w:rsidRPr="004127DC">
        <w:rPr>
          <w:sz w:val="28"/>
          <w:szCs w:val="28"/>
        </w:rPr>
        <w:t xml:space="preserve"> в 2011-2015 роках Державної цільової соціальної програми  подолання та запобігання бідності</w:t>
      </w:r>
    </w:p>
    <w:p w:rsidR="00393079" w:rsidRDefault="00393079" w:rsidP="00E54F03">
      <w:pPr>
        <w:jc w:val="both"/>
        <w:rPr>
          <w:sz w:val="28"/>
        </w:rPr>
      </w:pPr>
    </w:p>
    <w:tbl>
      <w:tblPr>
        <w:tblW w:w="0" w:type="auto"/>
        <w:tblInd w:w="-34" w:type="dxa"/>
        <w:tblLayout w:type="fixed"/>
        <w:tblLook w:val="0000" w:firstRow="0" w:lastRow="0" w:firstColumn="0" w:lastColumn="0" w:noHBand="0" w:noVBand="0"/>
      </w:tblPr>
      <w:tblGrid>
        <w:gridCol w:w="2410"/>
        <w:gridCol w:w="7478"/>
      </w:tblGrid>
      <w:tr w:rsidR="00393079">
        <w:tblPrEx>
          <w:tblCellMar>
            <w:top w:w="0" w:type="dxa"/>
            <w:bottom w:w="0" w:type="dxa"/>
          </w:tblCellMar>
        </w:tblPrEx>
        <w:trPr>
          <w:cantSplit/>
        </w:trPr>
        <w:tc>
          <w:tcPr>
            <w:tcW w:w="9888" w:type="dxa"/>
            <w:gridSpan w:val="2"/>
          </w:tcPr>
          <w:p w:rsidR="00393079" w:rsidRPr="004127DC" w:rsidRDefault="00393079" w:rsidP="00E54F03">
            <w:pPr>
              <w:jc w:val="center"/>
              <w:rPr>
                <w:b/>
                <w:sz w:val="28"/>
                <w:szCs w:val="28"/>
              </w:rPr>
            </w:pPr>
            <w:r w:rsidRPr="004127DC">
              <w:rPr>
                <w:b/>
                <w:sz w:val="28"/>
                <w:szCs w:val="28"/>
              </w:rPr>
              <w:t>1.</w:t>
            </w:r>
            <w:r w:rsidR="003757EB" w:rsidRPr="004127DC">
              <w:rPr>
                <w:b/>
                <w:sz w:val="28"/>
                <w:szCs w:val="28"/>
              </w:rPr>
              <w:t xml:space="preserve"> Розвиток</w:t>
            </w:r>
            <w:r w:rsidR="00251D0E">
              <w:rPr>
                <w:b/>
                <w:sz w:val="28"/>
                <w:szCs w:val="28"/>
              </w:rPr>
              <w:t xml:space="preserve"> вітчизняного</w:t>
            </w:r>
            <w:r w:rsidR="003757EB" w:rsidRPr="004127DC">
              <w:rPr>
                <w:b/>
                <w:sz w:val="28"/>
                <w:szCs w:val="28"/>
              </w:rPr>
              <w:t xml:space="preserve"> виробництва, п</w:t>
            </w:r>
            <w:r w:rsidRPr="004127DC">
              <w:rPr>
                <w:b/>
                <w:sz w:val="28"/>
                <w:szCs w:val="28"/>
              </w:rPr>
              <w:t xml:space="preserve">ідвищення рівня </w:t>
            </w:r>
            <w:r w:rsidR="00251D0E">
              <w:rPr>
                <w:b/>
                <w:sz w:val="28"/>
                <w:szCs w:val="28"/>
              </w:rPr>
              <w:t xml:space="preserve">зайнятості населення та </w:t>
            </w:r>
            <w:r w:rsidRPr="004127DC">
              <w:rPr>
                <w:b/>
                <w:sz w:val="28"/>
                <w:szCs w:val="28"/>
              </w:rPr>
              <w:t xml:space="preserve"> рин</w:t>
            </w:r>
            <w:r w:rsidR="006C7762">
              <w:rPr>
                <w:b/>
                <w:sz w:val="28"/>
                <w:szCs w:val="28"/>
              </w:rPr>
              <w:t>ок</w:t>
            </w:r>
            <w:r w:rsidRPr="004127DC">
              <w:rPr>
                <w:b/>
                <w:sz w:val="28"/>
                <w:szCs w:val="28"/>
              </w:rPr>
              <w:t xml:space="preserve"> праці</w:t>
            </w:r>
          </w:p>
          <w:p w:rsidR="00393079" w:rsidRDefault="00393079" w:rsidP="00E54F03">
            <w:pPr>
              <w:jc w:val="center"/>
              <w:rPr>
                <w:sz w:val="28"/>
              </w:rPr>
            </w:pPr>
          </w:p>
        </w:tc>
      </w:tr>
      <w:tr w:rsidR="00393079">
        <w:tblPrEx>
          <w:tblCellMar>
            <w:top w:w="0" w:type="dxa"/>
            <w:bottom w:w="0" w:type="dxa"/>
          </w:tblCellMar>
        </w:tblPrEx>
        <w:trPr>
          <w:cantSplit/>
        </w:trPr>
        <w:tc>
          <w:tcPr>
            <w:tcW w:w="9888" w:type="dxa"/>
            <w:gridSpan w:val="2"/>
          </w:tcPr>
          <w:p w:rsidR="00A865E6" w:rsidRDefault="00213FD2" w:rsidP="00F6640B">
            <w:pPr>
              <w:numPr>
                <w:ilvl w:val="1"/>
                <w:numId w:val="11"/>
              </w:numPr>
              <w:tabs>
                <w:tab w:val="clear" w:pos="720"/>
              </w:tabs>
              <w:ind w:left="0" w:firstLine="0"/>
              <w:jc w:val="both"/>
              <w:rPr>
                <w:sz w:val="28"/>
              </w:rPr>
            </w:pPr>
            <w:r>
              <w:rPr>
                <w:sz w:val="28"/>
              </w:rPr>
              <w:t xml:space="preserve">Сприяти </w:t>
            </w:r>
            <w:r w:rsidR="00A865E6">
              <w:rPr>
                <w:sz w:val="28"/>
              </w:rPr>
              <w:t>розвитку та модернізації інфраструктури підтримки малого підприємництва:</w:t>
            </w:r>
          </w:p>
          <w:p w:rsidR="00A865E6" w:rsidRDefault="00A865E6" w:rsidP="0055111E">
            <w:pPr>
              <w:ind w:firstLine="709"/>
              <w:jc w:val="both"/>
              <w:rPr>
                <w:sz w:val="28"/>
              </w:rPr>
            </w:pPr>
            <w:r>
              <w:rPr>
                <w:sz w:val="28"/>
              </w:rPr>
              <w:t>створити реєстр установ та орган</w:t>
            </w:r>
            <w:r w:rsidR="0055111E">
              <w:rPr>
                <w:sz w:val="28"/>
              </w:rPr>
              <w:t xml:space="preserve">ізацій інфраструктури підтримки </w:t>
            </w:r>
            <w:r>
              <w:rPr>
                <w:sz w:val="28"/>
              </w:rPr>
              <w:t>підприємництва</w:t>
            </w:r>
            <w:r w:rsidR="0041188B">
              <w:rPr>
                <w:sz w:val="28"/>
              </w:rPr>
              <w:t xml:space="preserve"> </w:t>
            </w:r>
            <w:r>
              <w:rPr>
                <w:sz w:val="28"/>
              </w:rPr>
              <w:t>на території області та розмістити його на веб-сайті облдержадміністрації;</w:t>
            </w:r>
          </w:p>
          <w:p w:rsidR="00393079" w:rsidRPr="004A5841" w:rsidRDefault="00A865E6" w:rsidP="0055111E">
            <w:pPr>
              <w:ind w:firstLine="743"/>
              <w:jc w:val="both"/>
              <w:rPr>
                <w:sz w:val="28"/>
              </w:rPr>
            </w:pPr>
            <w:r>
              <w:rPr>
                <w:sz w:val="28"/>
              </w:rPr>
              <w:t xml:space="preserve">сприяти створенню та підтримці діяльності </w:t>
            </w:r>
            <w:r w:rsidR="00D62E92">
              <w:rPr>
                <w:sz w:val="28"/>
              </w:rPr>
              <w:t>б</w:t>
            </w:r>
            <w:r w:rsidR="0041188B">
              <w:rPr>
                <w:sz w:val="28"/>
              </w:rPr>
              <w:t>ізнес-</w:t>
            </w:r>
            <w:r w:rsidR="00172032" w:rsidRPr="004A5841">
              <w:rPr>
                <w:sz w:val="28"/>
              </w:rPr>
              <w:t>інкубаторів та територіальних інноваційних центрів</w:t>
            </w:r>
            <w:r w:rsidR="0055111E">
              <w:rPr>
                <w:sz w:val="28"/>
              </w:rPr>
              <w:t>.</w:t>
            </w:r>
          </w:p>
          <w:p w:rsidR="0066486D" w:rsidRPr="004A5841" w:rsidRDefault="0066486D" w:rsidP="0055111E">
            <w:pPr>
              <w:ind w:firstLine="709"/>
              <w:jc w:val="both"/>
              <w:rPr>
                <w:sz w:val="28"/>
              </w:rPr>
            </w:pPr>
          </w:p>
        </w:tc>
      </w:tr>
      <w:tr w:rsidR="00393079">
        <w:tblPrEx>
          <w:tblCellMar>
            <w:top w:w="0" w:type="dxa"/>
            <w:bottom w:w="0" w:type="dxa"/>
          </w:tblCellMar>
        </w:tblPrEx>
        <w:trPr>
          <w:cantSplit/>
        </w:trPr>
        <w:tc>
          <w:tcPr>
            <w:tcW w:w="2410" w:type="dxa"/>
          </w:tcPr>
          <w:p w:rsidR="00393079" w:rsidRDefault="00A44949" w:rsidP="00E54F03">
            <w:pPr>
              <w:jc w:val="both"/>
              <w:rPr>
                <w:sz w:val="28"/>
              </w:rPr>
            </w:pPr>
            <w:r>
              <w:rPr>
                <w:sz w:val="28"/>
              </w:rPr>
              <w:t>Протягом 2011- 2015 років</w:t>
            </w:r>
            <w:r w:rsidR="0055111E">
              <w:rPr>
                <w:sz w:val="28"/>
              </w:rPr>
              <w:t>.</w:t>
            </w:r>
          </w:p>
        </w:tc>
        <w:tc>
          <w:tcPr>
            <w:tcW w:w="7478" w:type="dxa"/>
          </w:tcPr>
          <w:p w:rsidR="00393079" w:rsidRDefault="005269D9" w:rsidP="00E54F03">
            <w:pPr>
              <w:jc w:val="both"/>
              <w:rPr>
                <w:sz w:val="28"/>
              </w:rPr>
            </w:pPr>
            <w:r>
              <w:rPr>
                <w:sz w:val="28"/>
              </w:rPr>
              <w:t>У</w:t>
            </w:r>
            <w:r w:rsidR="00FF34CB">
              <w:rPr>
                <w:sz w:val="28"/>
              </w:rPr>
              <w:t>правління з питань розвитку споживчого ринку, сфери побутових послуг та підприємництва облдержадміністрації</w:t>
            </w:r>
            <w:r w:rsidR="001E3306">
              <w:rPr>
                <w:sz w:val="28"/>
              </w:rPr>
              <w:t>, райдержадміністрації, міськвиконкоми</w:t>
            </w:r>
            <w:r w:rsidR="00C7097B">
              <w:rPr>
                <w:sz w:val="28"/>
              </w:rPr>
              <w:t>.</w:t>
            </w:r>
          </w:p>
          <w:p w:rsidR="00B10794" w:rsidRDefault="00B10794" w:rsidP="00E54F03">
            <w:pPr>
              <w:jc w:val="both"/>
              <w:rPr>
                <w:sz w:val="28"/>
              </w:rPr>
            </w:pPr>
          </w:p>
        </w:tc>
      </w:tr>
      <w:tr w:rsidR="00393079">
        <w:tblPrEx>
          <w:tblCellMar>
            <w:top w:w="0" w:type="dxa"/>
            <w:bottom w:w="0" w:type="dxa"/>
          </w:tblCellMar>
        </w:tblPrEx>
        <w:trPr>
          <w:cantSplit/>
        </w:trPr>
        <w:tc>
          <w:tcPr>
            <w:tcW w:w="9888" w:type="dxa"/>
            <w:gridSpan w:val="2"/>
          </w:tcPr>
          <w:p w:rsidR="00393079" w:rsidRPr="004A5841" w:rsidRDefault="004614B8" w:rsidP="00C7097B">
            <w:pPr>
              <w:tabs>
                <w:tab w:val="left" w:pos="724"/>
              </w:tabs>
              <w:jc w:val="both"/>
              <w:rPr>
                <w:sz w:val="28"/>
              </w:rPr>
            </w:pPr>
            <w:r>
              <w:rPr>
                <w:sz w:val="28"/>
              </w:rPr>
              <w:t>1.2.</w:t>
            </w:r>
            <w:r w:rsidR="00C7097B">
              <w:rPr>
                <w:sz w:val="28"/>
              </w:rPr>
              <w:t xml:space="preserve"> </w:t>
            </w:r>
            <w:r w:rsidR="00CA174E">
              <w:rPr>
                <w:sz w:val="28"/>
              </w:rPr>
              <w:t xml:space="preserve">Сприяти розвитку </w:t>
            </w:r>
            <w:r w:rsidR="003D4380">
              <w:rPr>
                <w:sz w:val="28"/>
              </w:rPr>
              <w:t>конкурентоспроможного промислового</w:t>
            </w:r>
            <w:r w:rsidR="00C7097B">
              <w:rPr>
                <w:sz w:val="28"/>
              </w:rPr>
              <w:t xml:space="preserve"> та </w:t>
            </w:r>
            <w:r w:rsidR="003D4380">
              <w:rPr>
                <w:sz w:val="28"/>
              </w:rPr>
              <w:t>сільськогосподарського виробництва шляхом підтримки будівництва та реконструкції промислових підприємств та тваринницьких комплексів</w:t>
            </w:r>
            <w:r w:rsidR="00C7097B">
              <w:rPr>
                <w:sz w:val="28"/>
              </w:rPr>
              <w:t>.</w:t>
            </w:r>
          </w:p>
          <w:p w:rsidR="0066486D" w:rsidRPr="004A5841" w:rsidRDefault="0066486D" w:rsidP="00E54F03">
            <w:pPr>
              <w:jc w:val="both"/>
              <w:rPr>
                <w:sz w:val="28"/>
              </w:rPr>
            </w:pPr>
          </w:p>
        </w:tc>
      </w:tr>
      <w:tr w:rsidR="00393079">
        <w:tblPrEx>
          <w:tblCellMar>
            <w:top w:w="0" w:type="dxa"/>
            <w:bottom w:w="0" w:type="dxa"/>
          </w:tblCellMar>
        </w:tblPrEx>
        <w:tc>
          <w:tcPr>
            <w:tcW w:w="2410" w:type="dxa"/>
          </w:tcPr>
          <w:p w:rsidR="00393079" w:rsidRDefault="0075321B" w:rsidP="00E54F03">
            <w:pPr>
              <w:jc w:val="both"/>
              <w:rPr>
                <w:sz w:val="28"/>
              </w:rPr>
            </w:pPr>
            <w:r>
              <w:rPr>
                <w:sz w:val="28"/>
              </w:rPr>
              <w:t>Протягом 2011- 2015 років</w:t>
            </w:r>
            <w:r w:rsidR="0021106E">
              <w:rPr>
                <w:sz w:val="28"/>
              </w:rPr>
              <w:t>.</w:t>
            </w:r>
          </w:p>
        </w:tc>
        <w:tc>
          <w:tcPr>
            <w:tcW w:w="7478" w:type="dxa"/>
          </w:tcPr>
          <w:p w:rsidR="00393079" w:rsidRDefault="00393079" w:rsidP="0021106E">
            <w:pPr>
              <w:jc w:val="both"/>
              <w:rPr>
                <w:sz w:val="28"/>
              </w:rPr>
            </w:pPr>
            <w:r>
              <w:rPr>
                <w:sz w:val="28"/>
              </w:rPr>
              <w:t>Головн</w:t>
            </w:r>
            <w:r w:rsidR="00D2317D">
              <w:rPr>
                <w:sz w:val="28"/>
              </w:rPr>
              <w:t>е</w:t>
            </w:r>
            <w:r>
              <w:rPr>
                <w:sz w:val="28"/>
              </w:rPr>
              <w:t xml:space="preserve"> управління</w:t>
            </w:r>
            <w:r w:rsidR="00B52ECD">
              <w:rPr>
                <w:sz w:val="28"/>
              </w:rPr>
              <w:t>м</w:t>
            </w:r>
            <w:r>
              <w:rPr>
                <w:sz w:val="28"/>
              </w:rPr>
              <w:t xml:space="preserve"> промислов</w:t>
            </w:r>
            <w:r w:rsidR="00EA279C">
              <w:rPr>
                <w:sz w:val="28"/>
              </w:rPr>
              <w:t>ості та розвитку інфраструктури</w:t>
            </w:r>
            <w:r w:rsidR="00353D0F">
              <w:rPr>
                <w:sz w:val="28"/>
              </w:rPr>
              <w:t xml:space="preserve"> облдержадміністрації</w:t>
            </w:r>
            <w:r>
              <w:rPr>
                <w:sz w:val="28"/>
              </w:rPr>
              <w:t xml:space="preserve">, </w:t>
            </w:r>
            <w:r w:rsidR="005269D9">
              <w:rPr>
                <w:sz w:val="28"/>
              </w:rPr>
              <w:t xml:space="preserve">Головне управління агропромислового розвитку облдержадміністрації, </w:t>
            </w:r>
            <w:r w:rsidR="00EA279C">
              <w:rPr>
                <w:sz w:val="28"/>
              </w:rPr>
              <w:t>у</w:t>
            </w:r>
            <w:r>
              <w:rPr>
                <w:sz w:val="28"/>
              </w:rPr>
              <w:t>правління з питань розвитку споживчого ринку,</w:t>
            </w:r>
            <w:r w:rsidR="00F86021">
              <w:rPr>
                <w:sz w:val="28"/>
              </w:rPr>
              <w:t xml:space="preserve"> сфери</w:t>
            </w:r>
            <w:r>
              <w:rPr>
                <w:sz w:val="28"/>
              </w:rPr>
              <w:t xml:space="preserve"> побутових п</w:t>
            </w:r>
            <w:r w:rsidR="00B52ECD">
              <w:rPr>
                <w:sz w:val="28"/>
              </w:rPr>
              <w:t>ослуг та підприємництва</w:t>
            </w:r>
            <w:r w:rsidR="00353D0F">
              <w:rPr>
                <w:sz w:val="28"/>
              </w:rPr>
              <w:t xml:space="preserve"> облдержадміністрації</w:t>
            </w:r>
            <w:r w:rsidR="00D2317D">
              <w:rPr>
                <w:sz w:val="28"/>
              </w:rPr>
              <w:t xml:space="preserve">, </w:t>
            </w:r>
            <w:smartTag w:uri="urn:schemas-microsoft-com:office:smarttags" w:element="PersonName">
              <w:smartTagPr>
                <w:attr w:name="ProductID" w:val="управління містобудування та архітектури"/>
              </w:smartTagPr>
              <w:r w:rsidR="007333C3">
                <w:rPr>
                  <w:sz w:val="28"/>
                </w:rPr>
                <w:t>управління містобудування та архітектури</w:t>
              </w:r>
            </w:smartTag>
            <w:r w:rsidR="007333C3">
              <w:rPr>
                <w:sz w:val="28"/>
              </w:rPr>
              <w:t xml:space="preserve"> </w:t>
            </w:r>
            <w:r w:rsidR="005269D9">
              <w:rPr>
                <w:sz w:val="28"/>
              </w:rPr>
              <w:t xml:space="preserve">облдержадміністрації, </w:t>
            </w:r>
            <w:smartTag w:uri="urn:schemas-microsoft-com:office:smarttags" w:element="PersonName">
              <w:smartTagPr>
                <w:attr w:name="ProductID" w:val="Головне управління економіки"/>
              </w:smartTagPr>
              <w:r w:rsidR="005269D9">
                <w:rPr>
                  <w:sz w:val="28"/>
                </w:rPr>
                <w:t>Головне управління економіки</w:t>
              </w:r>
            </w:smartTag>
            <w:r w:rsidR="005269D9">
              <w:rPr>
                <w:sz w:val="28"/>
              </w:rPr>
              <w:t xml:space="preserve"> облдержадміністрації</w:t>
            </w:r>
            <w:r w:rsidR="0021106E">
              <w:rPr>
                <w:sz w:val="28"/>
              </w:rPr>
              <w:t>.</w:t>
            </w:r>
          </w:p>
          <w:p w:rsidR="00393079" w:rsidRDefault="00393079" w:rsidP="0021106E">
            <w:pPr>
              <w:jc w:val="both"/>
              <w:rPr>
                <w:sz w:val="28"/>
              </w:rPr>
            </w:pPr>
          </w:p>
        </w:tc>
      </w:tr>
      <w:tr w:rsidR="00CC1402">
        <w:tblPrEx>
          <w:tblCellMar>
            <w:top w:w="0" w:type="dxa"/>
            <w:bottom w:w="0" w:type="dxa"/>
          </w:tblCellMar>
        </w:tblPrEx>
        <w:tc>
          <w:tcPr>
            <w:tcW w:w="9888" w:type="dxa"/>
            <w:gridSpan w:val="2"/>
          </w:tcPr>
          <w:p w:rsidR="00CC1402" w:rsidRDefault="000D6492" w:rsidP="00C50068">
            <w:pPr>
              <w:tabs>
                <w:tab w:val="left" w:pos="743"/>
              </w:tabs>
              <w:jc w:val="both"/>
              <w:rPr>
                <w:sz w:val="28"/>
              </w:rPr>
            </w:pPr>
            <w:r>
              <w:rPr>
                <w:sz w:val="28"/>
              </w:rPr>
              <w:t xml:space="preserve">1.3. </w:t>
            </w:r>
            <w:r w:rsidR="0021106E">
              <w:rPr>
                <w:sz w:val="28"/>
              </w:rPr>
              <w:t xml:space="preserve">  </w:t>
            </w:r>
            <w:r w:rsidR="00CC1402">
              <w:rPr>
                <w:sz w:val="28"/>
              </w:rPr>
              <w:t>Сприяти економічному зростанню підприємств</w:t>
            </w:r>
            <w:r w:rsidR="00FE7511">
              <w:rPr>
                <w:sz w:val="28"/>
              </w:rPr>
              <w:t xml:space="preserve"> області з метою створення економічних передумов запровадження </w:t>
            </w:r>
            <w:r w:rsidR="004535BA">
              <w:rPr>
                <w:sz w:val="28"/>
              </w:rPr>
              <w:t xml:space="preserve"> </w:t>
            </w:r>
            <w:r w:rsidR="00FE7511">
              <w:rPr>
                <w:sz w:val="28"/>
              </w:rPr>
              <w:t xml:space="preserve">накопичувальної </w:t>
            </w:r>
            <w:r w:rsidR="00C9624D">
              <w:rPr>
                <w:sz w:val="28"/>
              </w:rPr>
              <w:t xml:space="preserve"> </w:t>
            </w:r>
            <w:r w:rsidR="00FE7511">
              <w:rPr>
                <w:sz w:val="28"/>
              </w:rPr>
              <w:t>системи пенсійної реформи</w:t>
            </w:r>
            <w:r w:rsidR="0021106E">
              <w:rPr>
                <w:sz w:val="28"/>
              </w:rPr>
              <w:t>.</w:t>
            </w:r>
          </w:p>
          <w:p w:rsidR="007572A5" w:rsidRDefault="007572A5" w:rsidP="00C50068">
            <w:pPr>
              <w:jc w:val="both"/>
              <w:rPr>
                <w:sz w:val="28"/>
              </w:rPr>
            </w:pPr>
          </w:p>
        </w:tc>
      </w:tr>
      <w:tr w:rsidR="00CC1402">
        <w:tblPrEx>
          <w:tblCellMar>
            <w:top w:w="0" w:type="dxa"/>
            <w:bottom w:w="0" w:type="dxa"/>
          </w:tblCellMar>
        </w:tblPrEx>
        <w:tc>
          <w:tcPr>
            <w:tcW w:w="2410" w:type="dxa"/>
          </w:tcPr>
          <w:p w:rsidR="00CC1402" w:rsidRDefault="00087ED4" w:rsidP="00E54F03">
            <w:pPr>
              <w:jc w:val="both"/>
              <w:rPr>
                <w:sz w:val="28"/>
              </w:rPr>
            </w:pPr>
            <w:r>
              <w:rPr>
                <w:sz w:val="28"/>
              </w:rPr>
              <w:t>Протягом 2011- 2015 рокі</w:t>
            </w:r>
            <w:r w:rsidR="00D3100D">
              <w:rPr>
                <w:sz w:val="28"/>
              </w:rPr>
              <w:t>в.</w:t>
            </w:r>
          </w:p>
        </w:tc>
        <w:tc>
          <w:tcPr>
            <w:tcW w:w="7478" w:type="dxa"/>
          </w:tcPr>
          <w:p w:rsidR="00CC1402" w:rsidRDefault="00890BE9" w:rsidP="00D3100D">
            <w:pPr>
              <w:jc w:val="both"/>
              <w:rPr>
                <w:sz w:val="28"/>
              </w:rPr>
            </w:pPr>
            <w:r>
              <w:rPr>
                <w:sz w:val="28"/>
              </w:rPr>
              <w:t>Головне управління економіки облдержадміністрації, р</w:t>
            </w:r>
            <w:r w:rsidR="00087ED4">
              <w:rPr>
                <w:sz w:val="28"/>
              </w:rPr>
              <w:t>айдержадміністрації, міськвиконкоми</w:t>
            </w:r>
            <w:r w:rsidR="00D3100D">
              <w:rPr>
                <w:sz w:val="28"/>
              </w:rPr>
              <w:t>.</w:t>
            </w:r>
          </w:p>
        </w:tc>
      </w:tr>
      <w:tr w:rsidR="00393079">
        <w:tblPrEx>
          <w:tblCellMar>
            <w:top w:w="0" w:type="dxa"/>
            <w:bottom w:w="0" w:type="dxa"/>
          </w:tblCellMar>
        </w:tblPrEx>
        <w:trPr>
          <w:cantSplit/>
        </w:trPr>
        <w:tc>
          <w:tcPr>
            <w:tcW w:w="9888" w:type="dxa"/>
            <w:gridSpan w:val="2"/>
          </w:tcPr>
          <w:p w:rsidR="00393079" w:rsidRPr="004A5841" w:rsidRDefault="00020A2D" w:rsidP="00F6640B">
            <w:pPr>
              <w:tabs>
                <w:tab w:val="left" w:pos="743"/>
              </w:tabs>
              <w:jc w:val="both"/>
              <w:rPr>
                <w:sz w:val="28"/>
              </w:rPr>
            </w:pPr>
            <w:r w:rsidRPr="004A5841">
              <w:rPr>
                <w:sz w:val="28"/>
              </w:rPr>
              <w:lastRenderedPageBreak/>
              <w:t>1.</w:t>
            </w:r>
            <w:r w:rsidR="000D6492">
              <w:rPr>
                <w:sz w:val="28"/>
              </w:rPr>
              <w:t>4</w:t>
            </w:r>
            <w:r w:rsidRPr="004A5841">
              <w:rPr>
                <w:sz w:val="28"/>
              </w:rPr>
              <w:t xml:space="preserve">. </w:t>
            </w:r>
            <w:r w:rsidR="008671C9">
              <w:rPr>
                <w:sz w:val="28"/>
              </w:rPr>
              <w:t>Сприяти організації проведення спеціалізованих курсів</w:t>
            </w:r>
            <w:r w:rsidR="002A5876" w:rsidRPr="004A5841">
              <w:rPr>
                <w:sz w:val="28"/>
              </w:rPr>
              <w:t xml:space="preserve"> для різних категорій слухачів щодо інтелектуальної власності, трансферу технологій та інноваційної діяльності</w:t>
            </w:r>
            <w:r w:rsidR="00F6640B">
              <w:rPr>
                <w:sz w:val="28"/>
              </w:rPr>
              <w:t>.</w:t>
            </w:r>
          </w:p>
          <w:p w:rsidR="0051418A" w:rsidRPr="004A5841" w:rsidRDefault="0051418A" w:rsidP="00E54F03">
            <w:pPr>
              <w:jc w:val="both"/>
              <w:rPr>
                <w:sz w:val="28"/>
              </w:rPr>
            </w:pPr>
          </w:p>
        </w:tc>
      </w:tr>
      <w:tr w:rsidR="00393079">
        <w:tblPrEx>
          <w:tblCellMar>
            <w:top w:w="0" w:type="dxa"/>
            <w:bottom w:w="0" w:type="dxa"/>
          </w:tblCellMar>
        </w:tblPrEx>
        <w:tc>
          <w:tcPr>
            <w:tcW w:w="2410" w:type="dxa"/>
          </w:tcPr>
          <w:p w:rsidR="00393079" w:rsidRDefault="00393079" w:rsidP="00E54F03">
            <w:pPr>
              <w:jc w:val="both"/>
              <w:rPr>
                <w:sz w:val="28"/>
              </w:rPr>
            </w:pPr>
            <w:r>
              <w:rPr>
                <w:sz w:val="28"/>
              </w:rPr>
              <w:t xml:space="preserve">Протягом </w:t>
            </w:r>
            <w:r w:rsidR="00B10794">
              <w:rPr>
                <w:sz w:val="28"/>
              </w:rPr>
              <w:t>2011-2015 років</w:t>
            </w:r>
            <w:r w:rsidR="00F6640B">
              <w:rPr>
                <w:sz w:val="28"/>
              </w:rPr>
              <w:t>.</w:t>
            </w:r>
          </w:p>
        </w:tc>
        <w:tc>
          <w:tcPr>
            <w:tcW w:w="7478" w:type="dxa"/>
          </w:tcPr>
          <w:p w:rsidR="00393079" w:rsidRDefault="008757D1" w:rsidP="00F6640B">
            <w:pPr>
              <w:jc w:val="both"/>
              <w:rPr>
                <w:sz w:val="28"/>
                <w:szCs w:val="28"/>
              </w:rPr>
            </w:pPr>
            <w:r>
              <w:rPr>
                <w:sz w:val="28"/>
                <w:szCs w:val="28"/>
              </w:rPr>
              <w:t>Головне управління економіки облдержадміністрації,</w:t>
            </w:r>
            <w:r w:rsidR="00292B9F">
              <w:rPr>
                <w:sz w:val="28"/>
                <w:szCs w:val="28"/>
              </w:rPr>
              <w:t xml:space="preserve"> Головне управління промисловості та розвитку інфраструктури облдержадміністрації,</w:t>
            </w:r>
            <w:r>
              <w:rPr>
                <w:sz w:val="28"/>
                <w:szCs w:val="28"/>
              </w:rPr>
              <w:t xml:space="preserve"> </w:t>
            </w:r>
            <w:r w:rsidR="004E5EDF">
              <w:rPr>
                <w:sz w:val="28"/>
                <w:szCs w:val="28"/>
              </w:rPr>
              <w:t xml:space="preserve">Головне управління агропромислового розвитку облдержадміністрації, </w:t>
            </w:r>
            <w:r>
              <w:rPr>
                <w:sz w:val="28"/>
                <w:szCs w:val="28"/>
              </w:rPr>
              <w:t>Головне управління осві</w:t>
            </w:r>
            <w:r w:rsidR="0055101D">
              <w:rPr>
                <w:sz w:val="28"/>
                <w:szCs w:val="28"/>
              </w:rPr>
              <w:t>ти і науки облдержадміністрації</w:t>
            </w:r>
            <w:r w:rsidR="00F6640B">
              <w:rPr>
                <w:sz w:val="28"/>
                <w:szCs w:val="28"/>
              </w:rPr>
              <w:t>.</w:t>
            </w:r>
          </w:p>
          <w:p w:rsidR="00046BDA" w:rsidRPr="00046BDA" w:rsidRDefault="00046BDA" w:rsidP="00F6640B">
            <w:pPr>
              <w:jc w:val="both"/>
              <w:rPr>
                <w:sz w:val="28"/>
                <w:szCs w:val="28"/>
              </w:rPr>
            </w:pPr>
          </w:p>
        </w:tc>
      </w:tr>
      <w:tr w:rsidR="006A1C32">
        <w:tblPrEx>
          <w:tblCellMar>
            <w:top w:w="0" w:type="dxa"/>
            <w:bottom w:w="0" w:type="dxa"/>
          </w:tblCellMar>
        </w:tblPrEx>
        <w:tc>
          <w:tcPr>
            <w:tcW w:w="9888" w:type="dxa"/>
            <w:gridSpan w:val="2"/>
          </w:tcPr>
          <w:p w:rsidR="006A1C32" w:rsidRDefault="00216C38" w:rsidP="00427BE4">
            <w:pPr>
              <w:tabs>
                <w:tab w:val="left" w:pos="724"/>
              </w:tabs>
              <w:jc w:val="both"/>
              <w:rPr>
                <w:sz w:val="28"/>
                <w:szCs w:val="28"/>
              </w:rPr>
            </w:pPr>
            <w:r>
              <w:rPr>
                <w:sz w:val="28"/>
                <w:szCs w:val="28"/>
              </w:rPr>
              <w:t xml:space="preserve">1.5. </w:t>
            </w:r>
            <w:r w:rsidR="006A1C32">
              <w:rPr>
                <w:sz w:val="28"/>
                <w:szCs w:val="28"/>
              </w:rPr>
              <w:t>Сприяти зайнятості осіб з обмеженими фізичними можливостями, зокрема на підприємствах, установах та організаціях, які не виконують норматив</w:t>
            </w:r>
            <w:r w:rsidR="00F6640B">
              <w:rPr>
                <w:sz w:val="28"/>
                <w:szCs w:val="28"/>
              </w:rPr>
              <w:t>ів</w:t>
            </w:r>
            <w:r w:rsidR="006A1C32">
              <w:rPr>
                <w:sz w:val="28"/>
                <w:szCs w:val="28"/>
              </w:rPr>
              <w:t xml:space="preserve"> створення робочих місць для працевлаштування інвалідів та на робочі місця, створені за рахунок коштів Фонду соціального захисту інвалідів. Забезпечити збереження на підприємствах, установах та організаціях області щорічно не менше 14800 робочих місць для інвалідів</w:t>
            </w:r>
            <w:r w:rsidR="00F6640B">
              <w:rPr>
                <w:sz w:val="28"/>
                <w:szCs w:val="28"/>
              </w:rPr>
              <w:t>.</w:t>
            </w:r>
          </w:p>
          <w:p w:rsidR="006E5D6D" w:rsidRDefault="006E5D6D" w:rsidP="00427BE4">
            <w:pPr>
              <w:jc w:val="both"/>
              <w:rPr>
                <w:sz w:val="28"/>
                <w:szCs w:val="28"/>
              </w:rPr>
            </w:pPr>
          </w:p>
        </w:tc>
      </w:tr>
      <w:tr w:rsidR="006E5D6D">
        <w:tblPrEx>
          <w:tblCellMar>
            <w:top w:w="0" w:type="dxa"/>
            <w:bottom w:w="0" w:type="dxa"/>
          </w:tblCellMar>
        </w:tblPrEx>
        <w:tc>
          <w:tcPr>
            <w:tcW w:w="2410" w:type="dxa"/>
          </w:tcPr>
          <w:p w:rsidR="006E5D6D" w:rsidRDefault="006E5D6D" w:rsidP="006E5D6D">
            <w:pPr>
              <w:jc w:val="both"/>
              <w:rPr>
                <w:sz w:val="28"/>
              </w:rPr>
            </w:pPr>
            <w:r>
              <w:rPr>
                <w:sz w:val="28"/>
              </w:rPr>
              <w:t>Протягом 2011-2015 років</w:t>
            </w:r>
            <w:r w:rsidR="00F140B0">
              <w:rPr>
                <w:sz w:val="28"/>
              </w:rPr>
              <w:t>.</w:t>
            </w:r>
          </w:p>
        </w:tc>
        <w:tc>
          <w:tcPr>
            <w:tcW w:w="7478" w:type="dxa"/>
          </w:tcPr>
          <w:p w:rsidR="006E5D6D" w:rsidRDefault="00436F7B" w:rsidP="00F140B0">
            <w:pPr>
              <w:jc w:val="both"/>
              <w:rPr>
                <w:sz w:val="28"/>
                <w:szCs w:val="28"/>
              </w:rPr>
            </w:pPr>
            <w:r>
              <w:rPr>
                <w:sz w:val="28"/>
                <w:szCs w:val="28"/>
              </w:rPr>
              <w:t>Головне управління праці та соціального захисту населення облдержадміністрації спільно з Полтавським</w:t>
            </w:r>
            <w:r w:rsidR="006E5D6D">
              <w:rPr>
                <w:sz w:val="28"/>
                <w:szCs w:val="28"/>
              </w:rPr>
              <w:t xml:space="preserve">  відділення</w:t>
            </w:r>
            <w:r>
              <w:rPr>
                <w:sz w:val="28"/>
                <w:szCs w:val="28"/>
              </w:rPr>
              <w:t>м</w:t>
            </w:r>
            <w:r w:rsidR="006E5D6D">
              <w:rPr>
                <w:sz w:val="28"/>
                <w:szCs w:val="28"/>
              </w:rPr>
              <w:t xml:space="preserve"> Фонду соціаль</w:t>
            </w:r>
            <w:r>
              <w:rPr>
                <w:sz w:val="28"/>
                <w:szCs w:val="28"/>
              </w:rPr>
              <w:t>ного захисту інвалідів і обласним</w:t>
            </w:r>
            <w:r w:rsidR="006E5D6D">
              <w:rPr>
                <w:sz w:val="28"/>
                <w:szCs w:val="28"/>
              </w:rPr>
              <w:t xml:space="preserve"> центр</w:t>
            </w:r>
            <w:r>
              <w:rPr>
                <w:sz w:val="28"/>
                <w:szCs w:val="28"/>
              </w:rPr>
              <w:t>ом</w:t>
            </w:r>
            <w:r w:rsidR="006E5D6D">
              <w:rPr>
                <w:sz w:val="28"/>
                <w:szCs w:val="28"/>
              </w:rPr>
              <w:t xml:space="preserve"> зайнятості, райдержадміністрації, міськвиконкоми</w:t>
            </w:r>
            <w:r w:rsidR="00F140B0">
              <w:rPr>
                <w:sz w:val="28"/>
                <w:szCs w:val="28"/>
              </w:rPr>
              <w:t>.</w:t>
            </w:r>
          </w:p>
          <w:p w:rsidR="00D15E12" w:rsidRDefault="00D15E12" w:rsidP="00F140B0">
            <w:pPr>
              <w:jc w:val="both"/>
              <w:rPr>
                <w:sz w:val="28"/>
                <w:szCs w:val="28"/>
              </w:rPr>
            </w:pPr>
          </w:p>
        </w:tc>
      </w:tr>
      <w:tr w:rsidR="006E5D6D">
        <w:tblPrEx>
          <w:tblCellMar>
            <w:top w:w="0" w:type="dxa"/>
            <w:bottom w:w="0" w:type="dxa"/>
          </w:tblCellMar>
        </w:tblPrEx>
        <w:tc>
          <w:tcPr>
            <w:tcW w:w="9888" w:type="dxa"/>
            <w:gridSpan w:val="2"/>
          </w:tcPr>
          <w:p w:rsidR="006E5D6D" w:rsidRDefault="00911E54" w:rsidP="00D94583">
            <w:pPr>
              <w:jc w:val="both"/>
              <w:rPr>
                <w:sz w:val="28"/>
                <w:szCs w:val="28"/>
              </w:rPr>
            </w:pPr>
            <w:r>
              <w:rPr>
                <w:sz w:val="28"/>
                <w:szCs w:val="28"/>
              </w:rPr>
              <w:t xml:space="preserve">1.6. </w:t>
            </w:r>
            <w:r w:rsidR="00D94583">
              <w:rPr>
                <w:sz w:val="28"/>
                <w:szCs w:val="28"/>
              </w:rPr>
              <w:t>Здійснювати професійну підготовку, перепідготовку та підвищення кваліфікації осіб з  інвалідністю, у тому числі через центри професійної реабілітації інвалідів, а також за направленням центрів зайнятості з</w:t>
            </w:r>
            <w:r w:rsidR="00D15E12">
              <w:rPr>
                <w:sz w:val="28"/>
                <w:szCs w:val="28"/>
              </w:rPr>
              <w:t xml:space="preserve"> метою забезпечення соціально-трудової адаптації. Надавати щорічну фінансову допомогу не менше</w:t>
            </w:r>
            <w:r w:rsidR="00D94583">
              <w:rPr>
                <w:sz w:val="28"/>
                <w:szCs w:val="28"/>
              </w:rPr>
              <w:t>,</w:t>
            </w:r>
            <w:r w:rsidR="00D15E12">
              <w:rPr>
                <w:sz w:val="28"/>
                <w:szCs w:val="28"/>
              </w:rPr>
              <w:t xml:space="preserve"> ніж 30 інвалідам різних нозол</w:t>
            </w:r>
            <w:r w:rsidR="00D94583">
              <w:rPr>
                <w:sz w:val="28"/>
                <w:szCs w:val="28"/>
              </w:rPr>
              <w:t>огій і груп на здобуття освіти в</w:t>
            </w:r>
            <w:r w:rsidR="00D15E12">
              <w:rPr>
                <w:sz w:val="28"/>
                <w:szCs w:val="28"/>
              </w:rPr>
              <w:t xml:space="preserve"> навчальних закладах.</w:t>
            </w:r>
          </w:p>
          <w:p w:rsidR="003C11D2" w:rsidRDefault="003C11D2" w:rsidP="00E54F03">
            <w:pPr>
              <w:rPr>
                <w:sz w:val="28"/>
                <w:szCs w:val="28"/>
              </w:rPr>
            </w:pPr>
          </w:p>
        </w:tc>
      </w:tr>
      <w:tr w:rsidR="00EA2022">
        <w:tblPrEx>
          <w:tblCellMar>
            <w:top w:w="0" w:type="dxa"/>
            <w:bottom w:w="0" w:type="dxa"/>
          </w:tblCellMar>
        </w:tblPrEx>
        <w:tc>
          <w:tcPr>
            <w:tcW w:w="2410" w:type="dxa"/>
          </w:tcPr>
          <w:p w:rsidR="00EA2022" w:rsidRDefault="00EA2022" w:rsidP="00EA2022">
            <w:pPr>
              <w:jc w:val="both"/>
              <w:rPr>
                <w:sz w:val="28"/>
              </w:rPr>
            </w:pPr>
            <w:r>
              <w:rPr>
                <w:sz w:val="28"/>
              </w:rPr>
              <w:t>Протягом 2011-2015 років</w:t>
            </w:r>
            <w:r w:rsidR="00427BE4">
              <w:rPr>
                <w:sz w:val="28"/>
              </w:rPr>
              <w:t>.</w:t>
            </w:r>
          </w:p>
        </w:tc>
        <w:tc>
          <w:tcPr>
            <w:tcW w:w="7478" w:type="dxa"/>
          </w:tcPr>
          <w:p w:rsidR="00EA2022" w:rsidRDefault="00017267" w:rsidP="00427BE4">
            <w:pPr>
              <w:jc w:val="both"/>
              <w:rPr>
                <w:sz w:val="28"/>
                <w:szCs w:val="28"/>
              </w:rPr>
            </w:pPr>
            <w:r>
              <w:rPr>
                <w:sz w:val="28"/>
                <w:szCs w:val="28"/>
              </w:rPr>
              <w:t xml:space="preserve">Головне управління праці та соціального захисту населення облдержадміністрації спільно </w:t>
            </w:r>
            <w:r w:rsidR="0023685A">
              <w:rPr>
                <w:sz w:val="28"/>
                <w:szCs w:val="28"/>
              </w:rPr>
              <w:t>з Полтавським</w:t>
            </w:r>
            <w:r w:rsidR="00EA2022">
              <w:rPr>
                <w:sz w:val="28"/>
                <w:szCs w:val="28"/>
              </w:rPr>
              <w:t xml:space="preserve">  відділення</w:t>
            </w:r>
            <w:r w:rsidR="0023685A">
              <w:rPr>
                <w:sz w:val="28"/>
                <w:szCs w:val="28"/>
              </w:rPr>
              <w:t>м</w:t>
            </w:r>
            <w:r w:rsidR="00EA2022">
              <w:rPr>
                <w:sz w:val="28"/>
                <w:szCs w:val="28"/>
              </w:rPr>
              <w:t xml:space="preserve"> Фонд</w:t>
            </w:r>
            <w:r w:rsidR="0023685A">
              <w:rPr>
                <w:sz w:val="28"/>
                <w:szCs w:val="28"/>
              </w:rPr>
              <w:t>у соціального захисту інвалідів і обласним</w:t>
            </w:r>
            <w:r w:rsidR="00EA2022">
              <w:rPr>
                <w:sz w:val="28"/>
                <w:szCs w:val="28"/>
              </w:rPr>
              <w:t xml:space="preserve"> центр</w:t>
            </w:r>
            <w:r w:rsidR="0023685A">
              <w:rPr>
                <w:sz w:val="28"/>
                <w:szCs w:val="28"/>
              </w:rPr>
              <w:t>ом</w:t>
            </w:r>
            <w:r w:rsidR="00EA2022">
              <w:rPr>
                <w:sz w:val="28"/>
                <w:szCs w:val="28"/>
              </w:rPr>
              <w:t xml:space="preserve"> зайнятості</w:t>
            </w:r>
            <w:r w:rsidR="00024BA2">
              <w:rPr>
                <w:sz w:val="28"/>
                <w:szCs w:val="28"/>
              </w:rPr>
              <w:t>, Г</w:t>
            </w:r>
            <w:r w:rsidR="00EA2022">
              <w:rPr>
                <w:sz w:val="28"/>
                <w:szCs w:val="28"/>
              </w:rPr>
              <w:t>оловне управління освіти і науки облдержадміністрації</w:t>
            </w:r>
            <w:r w:rsidR="00427BE4">
              <w:rPr>
                <w:sz w:val="28"/>
                <w:szCs w:val="28"/>
              </w:rPr>
              <w:t>.</w:t>
            </w:r>
          </w:p>
          <w:p w:rsidR="00EA2022" w:rsidRDefault="00EA2022" w:rsidP="00427BE4">
            <w:pPr>
              <w:jc w:val="both"/>
              <w:rPr>
                <w:sz w:val="28"/>
                <w:szCs w:val="28"/>
              </w:rPr>
            </w:pPr>
          </w:p>
        </w:tc>
      </w:tr>
      <w:tr w:rsidR="00EA2022">
        <w:tblPrEx>
          <w:tblCellMar>
            <w:top w:w="0" w:type="dxa"/>
            <w:bottom w:w="0" w:type="dxa"/>
          </w:tblCellMar>
        </w:tblPrEx>
        <w:trPr>
          <w:cantSplit/>
        </w:trPr>
        <w:tc>
          <w:tcPr>
            <w:tcW w:w="9888" w:type="dxa"/>
            <w:gridSpan w:val="2"/>
          </w:tcPr>
          <w:p w:rsidR="00EA2022" w:rsidRPr="004A5841" w:rsidRDefault="00EA2022" w:rsidP="005831B8">
            <w:pPr>
              <w:jc w:val="both"/>
              <w:rPr>
                <w:sz w:val="28"/>
              </w:rPr>
            </w:pPr>
            <w:r w:rsidRPr="004A5841">
              <w:rPr>
                <w:sz w:val="28"/>
              </w:rPr>
              <w:t>1.</w:t>
            </w:r>
            <w:r w:rsidR="007731C2">
              <w:rPr>
                <w:sz w:val="28"/>
              </w:rPr>
              <w:t>7</w:t>
            </w:r>
            <w:r w:rsidRPr="004A5841">
              <w:rPr>
                <w:sz w:val="28"/>
              </w:rPr>
              <w:t>. Сприяти зниженню рівня безробіття серед сільського населення</w:t>
            </w:r>
            <w:r>
              <w:rPr>
                <w:sz w:val="28"/>
              </w:rPr>
              <w:t xml:space="preserve"> шляхом надання консультацій </w:t>
            </w:r>
            <w:r w:rsidR="0019341A">
              <w:rPr>
                <w:sz w:val="28"/>
              </w:rPr>
              <w:t>і</w:t>
            </w:r>
            <w:r>
              <w:rPr>
                <w:sz w:val="28"/>
              </w:rPr>
              <w:t>з питань альтернативної зайнятості сільського населення, пошуку альтернативних джерел доходів;</w:t>
            </w:r>
            <w:r w:rsidR="0019341A">
              <w:rPr>
                <w:sz w:val="28"/>
              </w:rPr>
              <w:t xml:space="preserve"> здійснювати </w:t>
            </w:r>
            <w:r>
              <w:rPr>
                <w:sz w:val="28"/>
              </w:rPr>
              <w:t xml:space="preserve"> профорієнтаці</w:t>
            </w:r>
            <w:r w:rsidR="0019341A">
              <w:rPr>
                <w:sz w:val="28"/>
              </w:rPr>
              <w:t>ю</w:t>
            </w:r>
            <w:r>
              <w:rPr>
                <w:sz w:val="28"/>
              </w:rPr>
              <w:t xml:space="preserve"> та соціальн</w:t>
            </w:r>
            <w:r w:rsidR="0019341A">
              <w:rPr>
                <w:sz w:val="28"/>
              </w:rPr>
              <w:t>у</w:t>
            </w:r>
            <w:r>
              <w:rPr>
                <w:sz w:val="28"/>
              </w:rPr>
              <w:t xml:space="preserve"> адаптаці</w:t>
            </w:r>
            <w:r w:rsidR="0019341A">
              <w:rPr>
                <w:sz w:val="28"/>
              </w:rPr>
              <w:t>ю</w:t>
            </w:r>
            <w:r>
              <w:rPr>
                <w:sz w:val="28"/>
              </w:rPr>
              <w:t xml:space="preserve"> сільських безробітних</w:t>
            </w:r>
            <w:r w:rsidR="0019341A">
              <w:rPr>
                <w:sz w:val="28"/>
              </w:rPr>
              <w:t>.</w:t>
            </w:r>
          </w:p>
          <w:p w:rsidR="00EA2022" w:rsidRPr="004A5841" w:rsidRDefault="00EA2022" w:rsidP="005831B8">
            <w:pPr>
              <w:jc w:val="both"/>
              <w:rPr>
                <w:sz w:val="28"/>
              </w:rPr>
            </w:pPr>
          </w:p>
        </w:tc>
      </w:tr>
      <w:tr w:rsidR="00EA2022">
        <w:tblPrEx>
          <w:tblCellMar>
            <w:top w:w="0" w:type="dxa"/>
            <w:bottom w:w="0" w:type="dxa"/>
          </w:tblCellMar>
        </w:tblPrEx>
        <w:trPr>
          <w:cantSplit/>
        </w:trPr>
        <w:tc>
          <w:tcPr>
            <w:tcW w:w="2410" w:type="dxa"/>
          </w:tcPr>
          <w:p w:rsidR="00EA2022" w:rsidRDefault="00EA2022" w:rsidP="00852E45">
            <w:pPr>
              <w:rPr>
                <w:sz w:val="28"/>
              </w:rPr>
            </w:pPr>
            <w:r>
              <w:rPr>
                <w:sz w:val="28"/>
              </w:rPr>
              <w:t>Протягом 2011-2015 років</w:t>
            </w:r>
            <w:r w:rsidR="00945927">
              <w:rPr>
                <w:sz w:val="28"/>
              </w:rPr>
              <w:t>.</w:t>
            </w:r>
            <w:r>
              <w:rPr>
                <w:sz w:val="28"/>
              </w:rPr>
              <w:t xml:space="preserve"> </w:t>
            </w:r>
          </w:p>
        </w:tc>
        <w:tc>
          <w:tcPr>
            <w:tcW w:w="7478" w:type="dxa"/>
          </w:tcPr>
          <w:p w:rsidR="00EA2022" w:rsidRDefault="00EA2022" w:rsidP="00945927">
            <w:pPr>
              <w:jc w:val="both"/>
              <w:rPr>
                <w:sz w:val="28"/>
              </w:rPr>
            </w:pPr>
            <w:r>
              <w:rPr>
                <w:sz w:val="28"/>
              </w:rPr>
              <w:t>Головне управління агропромисловог</w:t>
            </w:r>
            <w:r w:rsidR="00942BC9">
              <w:rPr>
                <w:sz w:val="28"/>
              </w:rPr>
              <w:t xml:space="preserve">о розвитку облдержадміністрації спільно з </w:t>
            </w:r>
            <w:r>
              <w:rPr>
                <w:sz w:val="28"/>
              </w:rPr>
              <w:t xml:space="preserve"> ТОВ „Полтавська обласна сільськогоспод</w:t>
            </w:r>
            <w:r w:rsidR="00942BC9">
              <w:rPr>
                <w:sz w:val="28"/>
              </w:rPr>
              <w:t xml:space="preserve">арська дорадча служба”, обласним центром </w:t>
            </w:r>
            <w:r>
              <w:rPr>
                <w:sz w:val="28"/>
              </w:rPr>
              <w:t>зайнятості, райдержадміністрації</w:t>
            </w:r>
            <w:r w:rsidR="00945927">
              <w:rPr>
                <w:sz w:val="28"/>
              </w:rPr>
              <w:t>.</w:t>
            </w:r>
          </w:p>
          <w:p w:rsidR="00EA2022" w:rsidRDefault="00EA2022" w:rsidP="00945927">
            <w:pPr>
              <w:jc w:val="both"/>
              <w:rPr>
                <w:sz w:val="28"/>
              </w:rPr>
            </w:pPr>
            <w:r>
              <w:rPr>
                <w:sz w:val="28"/>
              </w:rPr>
              <w:t xml:space="preserve"> </w:t>
            </w:r>
          </w:p>
        </w:tc>
      </w:tr>
      <w:tr w:rsidR="00EA2022">
        <w:tblPrEx>
          <w:tblCellMar>
            <w:top w:w="0" w:type="dxa"/>
            <w:bottom w:w="0" w:type="dxa"/>
          </w:tblCellMar>
        </w:tblPrEx>
        <w:tc>
          <w:tcPr>
            <w:tcW w:w="9888" w:type="dxa"/>
            <w:gridSpan w:val="2"/>
          </w:tcPr>
          <w:p w:rsidR="00EA2022" w:rsidRPr="00002AC8" w:rsidRDefault="00EA2022" w:rsidP="005B6E07">
            <w:pPr>
              <w:jc w:val="both"/>
              <w:rPr>
                <w:sz w:val="28"/>
              </w:rPr>
            </w:pPr>
            <w:r w:rsidRPr="00002AC8">
              <w:rPr>
                <w:sz w:val="28"/>
              </w:rPr>
              <w:t>1.</w:t>
            </w:r>
            <w:r w:rsidR="007731C2">
              <w:rPr>
                <w:sz w:val="28"/>
              </w:rPr>
              <w:t>8</w:t>
            </w:r>
            <w:r w:rsidRPr="00002AC8">
              <w:rPr>
                <w:sz w:val="28"/>
              </w:rPr>
              <w:t>. Сприяти працевлаштуванню молоді на перше робоче місце відповідно до Закону України „Про забезпечення молоді, яка отримала вищу або професійно-технічну освіту, першим робочим місцем з наданням дотації роботодавцю”</w:t>
            </w:r>
            <w:r w:rsidR="005B6E07">
              <w:rPr>
                <w:sz w:val="28"/>
              </w:rPr>
              <w:t>.</w:t>
            </w:r>
          </w:p>
          <w:p w:rsidR="00EA2022" w:rsidRDefault="00EA2022" w:rsidP="005B6E07">
            <w:pPr>
              <w:jc w:val="both"/>
              <w:rPr>
                <w:sz w:val="28"/>
              </w:rPr>
            </w:pPr>
          </w:p>
        </w:tc>
      </w:tr>
      <w:tr w:rsidR="00EA2022">
        <w:tblPrEx>
          <w:tblCellMar>
            <w:top w:w="0" w:type="dxa"/>
            <w:bottom w:w="0" w:type="dxa"/>
          </w:tblCellMar>
        </w:tblPrEx>
        <w:tc>
          <w:tcPr>
            <w:tcW w:w="2410" w:type="dxa"/>
          </w:tcPr>
          <w:p w:rsidR="00EA2022" w:rsidRDefault="00EA2022" w:rsidP="00C008BA">
            <w:pPr>
              <w:jc w:val="both"/>
              <w:rPr>
                <w:sz w:val="28"/>
              </w:rPr>
            </w:pPr>
            <w:r>
              <w:rPr>
                <w:sz w:val="28"/>
              </w:rPr>
              <w:t>Протягом 2011-2015 років</w:t>
            </w:r>
            <w:r w:rsidR="005B6E07">
              <w:rPr>
                <w:sz w:val="28"/>
              </w:rPr>
              <w:t>.</w:t>
            </w:r>
          </w:p>
        </w:tc>
        <w:tc>
          <w:tcPr>
            <w:tcW w:w="7478" w:type="dxa"/>
          </w:tcPr>
          <w:p w:rsidR="00EA2022" w:rsidRDefault="00EA2022" w:rsidP="005B6E07">
            <w:pPr>
              <w:jc w:val="both"/>
              <w:rPr>
                <w:sz w:val="28"/>
              </w:rPr>
            </w:pPr>
            <w:r>
              <w:rPr>
                <w:sz w:val="28"/>
              </w:rPr>
              <w:t>Головне управління освіти і науки облдержадміністрації, Головне управління агропромислового розвитку облдержадміністрації, Головне управління праці та соціального захисту на</w:t>
            </w:r>
            <w:r w:rsidR="001D5FEB">
              <w:rPr>
                <w:sz w:val="28"/>
              </w:rPr>
              <w:t xml:space="preserve">селення облдержадміністрації спільно з обласним </w:t>
            </w:r>
            <w:r>
              <w:rPr>
                <w:sz w:val="28"/>
              </w:rPr>
              <w:t xml:space="preserve"> центр</w:t>
            </w:r>
            <w:r w:rsidR="001D5FEB">
              <w:rPr>
                <w:sz w:val="28"/>
              </w:rPr>
              <w:t>ом</w:t>
            </w:r>
            <w:r>
              <w:rPr>
                <w:sz w:val="28"/>
              </w:rPr>
              <w:t xml:space="preserve"> зайнятості, райдерж</w:t>
            </w:r>
            <w:r w:rsidR="00CC7F22">
              <w:rPr>
                <w:sz w:val="28"/>
              </w:rPr>
              <w:t>-</w:t>
            </w:r>
            <w:r>
              <w:rPr>
                <w:sz w:val="28"/>
              </w:rPr>
              <w:t>адміністрації, міськвиконкоми</w:t>
            </w:r>
            <w:r w:rsidR="005B6E07">
              <w:rPr>
                <w:sz w:val="28"/>
              </w:rPr>
              <w:t>.</w:t>
            </w:r>
          </w:p>
          <w:p w:rsidR="00EA2022" w:rsidRDefault="00EA2022" w:rsidP="005B6E07">
            <w:pPr>
              <w:jc w:val="both"/>
              <w:rPr>
                <w:sz w:val="28"/>
              </w:rPr>
            </w:pPr>
          </w:p>
        </w:tc>
      </w:tr>
      <w:tr w:rsidR="00EA2022">
        <w:tblPrEx>
          <w:tblCellMar>
            <w:top w:w="0" w:type="dxa"/>
            <w:bottom w:w="0" w:type="dxa"/>
          </w:tblCellMar>
        </w:tblPrEx>
        <w:tc>
          <w:tcPr>
            <w:tcW w:w="9888" w:type="dxa"/>
            <w:gridSpan w:val="2"/>
          </w:tcPr>
          <w:p w:rsidR="00EA2022" w:rsidRDefault="00EA2022" w:rsidP="005B6E07">
            <w:pPr>
              <w:jc w:val="both"/>
              <w:rPr>
                <w:sz w:val="28"/>
              </w:rPr>
            </w:pPr>
            <w:r>
              <w:rPr>
                <w:sz w:val="28"/>
              </w:rPr>
              <w:t>1.</w:t>
            </w:r>
            <w:r w:rsidR="007731C2">
              <w:rPr>
                <w:sz w:val="28"/>
              </w:rPr>
              <w:t>9</w:t>
            </w:r>
            <w:r>
              <w:rPr>
                <w:sz w:val="28"/>
              </w:rPr>
              <w:t>. Надавати підтримку реалізації програм та заходів молодіжного центру праці, спрямованих на працевлаштування молоді</w:t>
            </w:r>
            <w:r w:rsidR="005B6E07">
              <w:rPr>
                <w:sz w:val="28"/>
              </w:rPr>
              <w:t>.</w:t>
            </w:r>
          </w:p>
          <w:p w:rsidR="00EA2022" w:rsidRPr="00002AC8" w:rsidRDefault="00EA2022" w:rsidP="005B6E07">
            <w:pPr>
              <w:jc w:val="both"/>
              <w:rPr>
                <w:sz w:val="28"/>
              </w:rPr>
            </w:pPr>
          </w:p>
        </w:tc>
      </w:tr>
      <w:tr w:rsidR="00EA2022">
        <w:tblPrEx>
          <w:tblCellMar>
            <w:top w:w="0" w:type="dxa"/>
            <w:bottom w:w="0" w:type="dxa"/>
          </w:tblCellMar>
        </w:tblPrEx>
        <w:tc>
          <w:tcPr>
            <w:tcW w:w="2410" w:type="dxa"/>
          </w:tcPr>
          <w:p w:rsidR="00EA2022" w:rsidRDefault="00EA2022" w:rsidP="008E0400">
            <w:pPr>
              <w:jc w:val="both"/>
              <w:rPr>
                <w:sz w:val="28"/>
              </w:rPr>
            </w:pPr>
            <w:r>
              <w:rPr>
                <w:sz w:val="28"/>
              </w:rPr>
              <w:t>Протягом 2011-2015 років</w:t>
            </w:r>
            <w:r w:rsidR="005B6E07">
              <w:rPr>
                <w:sz w:val="28"/>
              </w:rPr>
              <w:t>.</w:t>
            </w:r>
          </w:p>
        </w:tc>
        <w:tc>
          <w:tcPr>
            <w:tcW w:w="7478" w:type="dxa"/>
          </w:tcPr>
          <w:p w:rsidR="00EA2022" w:rsidRDefault="00EA2022" w:rsidP="005B6E07">
            <w:pPr>
              <w:jc w:val="both"/>
              <w:rPr>
                <w:sz w:val="28"/>
              </w:rPr>
            </w:pPr>
            <w:r>
              <w:rPr>
                <w:sz w:val="28"/>
              </w:rPr>
              <w:t>Відділ у справах сім’ї та молоді облдержадміністрації</w:t>
            </w:r>
            <w:r w:rsidR="008B53FB">
              <w:rPr>
                <w:sz w:val="28"/>
              </w:rPr>
              <w:t xml:space="preserve"> спільно з обласним центром зайнятості</w:t>
            </w:r>
            <w:r w:rsidR="005B6E07">
              <w:rPr>
                <w:sz w:val="28"/>
              </w:rPr>
              <w:t>.</w:t>
            </w:r>
          </w:p>
          <w:p w:rsidR="00EA2022" w:rsidRDefault="00EA2022" w:rsidP="005B6E07">
            <w:pPr>
              <w:jc w:val="both"/>
              <w:rPr>
                <w:sz w:val="28"/>
              </w:rPr>
            </w:pPr>
          </w:p>
        </w:tc>
      </w:tr>
      <w:tr w:rsidR="00EA2022">
        <w:tblPrEx>
          <w:tblCellMar>
            <w:top w:w="0" w:type="dxa"/>
            <w:bottom w:w="0" w:type="dxa"/>
          </w:tblCellMar>
        </w:tblPrEx>
        <w:tc>
          <w:tcPr>
            <w:tcW w:w="9888" w:type="dxa"/>
            <w:gridSpan w:val="2"/>
          </w:tcPr>
          <w:p w:rsidR="00EA2022" w:rsidRDefault="00EA2022" w:rsidP="00E1192A">
            <w:pPr>
              <w:jc w:val="both"/>
              <w:rPr>
                <w:sz w:val="28"/>
              </w:rPr>
            </w:pPr>
            <w:r>
              <w:rPr>
                <w:sz w:val="28"/>
              </w:rPr>
              <w:t>1.</w:t>
            </w:r>
            <w:r w:rsidR="007731C2">
              <w:rPr>
                <w:sz w:val="28"/>
              </w:rPr>
              <w:t>10</w:t>
            </w:r>
            <w:r>
              <w:rPr>
                <w:sz w:val="28"/>
              </w:rPr>
              <w:t>. Сприяти зайнятості сільського населення  шляхом підвищення кваліфікації спеціалістів сільськогосподарських підприємств та проведення професійного навчання відповідно до потреб виробництва</w:t>
            </w:r>
            <w:r w:rsidR="00E1192A">
              <w:rPr>
                <w:sz w:val="28"/>
              </w:rPr>
              <w:t>.</w:t>
            </w:r>
          </w:p>
          <w:p w:rsidR="00EA2022" w:rsidRDefault="00EA2022" w:rsidP="00E1192A">
            <w:pPr>
              <w:jc w:val="both"/>
              <w:rPr>
                <w:sz w:val="28"/>
              </w:rPr>
            </w:pPr>
          </w:p>
        </w:tc>
      </w:tr>
      <w:tr w:rsidR="00EA2022">
        <w:tblPrEx>
          <w:tblCellMar>
            <w:top w:w="0" w:type="dxa"/>
            <w:bottom w:w="0" w:type="dxa"/>
          </w:tblCellMar>
        </w:tblPrEx>
        <w:tc>
          <w:tcPr>
            <w:tcW w:w="2410" w:type="dxa"/>
          </w:tcPr>
          <w:p w:rsidR="00EA2022" w:rsidRDefault="00EA2022" w:rsidP="008C6C93">
            <w:pPr>
              <w:jc w:val="both"/>
              <w:rPr>
                <w:sz w:val="28"/>
              </w:rPr>
            </w:pPr>
            <w:r>
              <w:rPr>
                <w:sz w:val="28"/>
              </w:rPr>
              <w:t>Протягом 2011-2015 років</w:t>
            </w:r>
            <w:r w:rsidR="00E1192A">
              <w:rPr>
                <w:sz w:val="28"/>
              </w:rPr>
              <w:t>.</w:t>
            </w:r>
          </w:p>
        </w:tc>
        <w:tc>
          <w:tcPr>
            <w:tcW w:w="7478" w:type="dxa"/>
          </w:tcPr>
          <w:p w:rsidR="00EA2022" w:rsidRDefault="00EA2022" w:rsidP="00E1192A">
            <w:pPr>
              <w:jc w:val="both"/>
              <w:rPr>
                <w:sz w:val="28"/>
              </w:rPr>
            </w:pPr>
            <w:r>
              <w:rPr>
                <w:sz w:val="28"/>
              </w:rPr>
              <w:t>Головне управління агропромислового розвитку облдержадміністрації, райдержадміністрації спільно з Полтавською державною аграрною академією, школою підвищення кваліфікації Полтавського державного аграрного коледжу управління і права, Полтавським обласним навчально-консультативним центром „Агротехнік”</w:t>
            </w:r>
            <w:r w:rsidR="00E1192A">
              <w:rPr>
                <w:sz w:val="28"/>
              </w:rPr>
              <w:t>.</w:t>
            </w:r>
          </w:p>
          <w:p w:rsidR="00EA2022" w:rsidRDefault="00EA2022" w:rsidP="00E1192A">
            <w:pPr>
              <w:jc w:val="both"/>
              <w:rPr>
                <w:sz w:val="28"/>
              </w:rPr>
            </w:pPr>
          </w:p>
        </w:tc>
      </w:tr>
      <w:tr w:rsidR="00EA2022">
        <w:tblPrEx>
          <w:tblCellMar>
            <w:top w:w="0" w:type="dxa"/>
            <w:bottom w:w="0" w:type="dxa"/>
          </w:tblCellMar>
        </w:tblPrEx>
        <w:tc>
          <w:tcPr>
            <w:tcW w:w="9888" w:type="dxa"/>
            <w:gridSpan w:val="2"/>
          </w:tcPr>
          <w:p w:rsidR="00EA2022" w:rsidRPr="004A5841" w:rsidRDefault="00EA2022" w:rsidP="00E1192A">
            <w:pPr>
              <w:tabs>
                <w:tab w:val="left" w:pos="724"/>
              </w:tabs>
              <w:jc w:val="both"/>
              <w:rPr>
                <w:sz w:val="28"/>
              </w:rPr>
            </w:pPr>
            <w:r>
              <w:rPr>
                <w:sz w:val="28"/>
              </w:rPr>
              <w:t xml:space="preserve"> </w:t>
            </w:r>
            <w:r w:rsidR="007E7DA0">
              <w:rPr>
                <w:sz w:val="28"/>
              </w:rPr>
              <w:t xml:space="preserve">1.11. </w:t>
            </w:r>
            <w:r w:rsidRPr="004A5841">
              <w:rPr>
                <w:sz w:val="28"/>
              </w:rPr>
              <w:t xml:space="preserve">Запровадити проведення постійної інформаційної роботи з питань обов’язковості  легалізації трудових відносин </w:t>
            </w:r>
            <w:r w:rsidR="00E1192A">
              <w:rPr>
                <w:sz w:val="28"/>
              </w:rPr>
              <w:t>і</w:t>
            </w:r>
            <w:r w:rsidRPr="004A5841">
              <w:rPr>
                <w:sz w:val="28"/>
              </w:rPr>
              <w:t>з метою створення умов для соціального захисту працівників</w:t>
            </w:r>
            <w:r w:rsidR="00E1192A">
              <w:rPr>
                <w:sz w:val="28"/>
              </w:rPr>
              <w:t>.</w:t>
            </w:r>
          </w:p>
          <w:p w:rsidR="00EA2022" w:rsidRPr="004A5841" w:rsidRDefault="00EA2022" w:rsidP="00E1192A">
            <w:pPr>
              <w:jc w:val="both"/>
              <w:rPr>
                <w:sz w:val="28"/>
              </w:rPr>
            </w:pPr>
          </w:p>
        </w:tc>
      </w:tr>
      <w:tr w:rsidR="00EA2022">
        <w:tblPrEx>
          <w:tblCellMar>
            <w:top w:w="0" w:type="dxa"/>
            <w:bottom w:w="0" w:type="dxa"/>
          </w:tblCellMar>
        </w:tblPrEx>
        <w:tc>
          <w:tcPr>
            <w:tcW w:w="2410" w:type="dxa"/>
          </w:tcPr>
          <w:p w:rsidR="00EA2022" w:rsidRDefault="00EA2022" w:rsidP="00487CEF">
            <w:pPr>
              <w:jc w:val="both"/>
              <w:rPr>
                <w:sz w:val="28"/>
              </w:rPr>
            </w:pPr>
            <w:r>
              <w:rPr>
                <w:sz w:val="28"/>
              </w:rPr>
              <w:t>Протягом 2011-2015 років</w:t>
            </w:r>
            <w:r w:rsidR="00E1192A">
              <w:rPr>
                <w:sz w:val="28"/>
              </w:rPr>
              <w:t>.</w:t>
            </w:r>
          </w:p>
        </w:tc>
        <w:tc>
          <w:tcPr>
            <w:tcW w:w="7478" w:type="dxa"/>
          </w:tcPr>
          <w:p w:rsidR="00EA2022" w:rsidRDefault="00C86C5C" w:rsidP="00E1192A">
            <w:pPr>
              <w:jc w:val="both"/>
              <w:rPr>
                <w:sz w:val="28"/>
              </w:rPr>
            </w:pPr>
            <w:r>
              <w:rPr>
                <w:sz w:val="28"/>
              </w:rPr>
              <w:t>Головне управління праці та соціального захисту населення облдержадміністрації спільно з Територіально</w:t>
            </w:r>
            <w:r w:rsidR="009A63CF">
              <w:rPr>
                <w:sz w:val="28"/>
              </w:rPr>
              <w:t>ю  держав</w:t>
            </w:r>
            <w:r w:rsidR="00CC7F22">
              <w:rPr>
                <w:sz w:val="28"/>
              </w:rPr>
              <w:t>-</w:t>
            </w:r>
            <w:r w:rsidR="009A63CF">
              <w:rPr>
                <w:sz w:val="28"/>
              </w:rPr>
              <w:t>ною інспекцією</w:t>
            </w:r>
            <w:r w:rsidR="00EA2022">
              <w:rPr>
                <w:sz w:val="28"/>
              </w:rPr>
              <w:t xml:space="preserve"> прац</w:t>
            </w:r>
            <w:r w:rsidR="009A63CF">
              <w:rPr>
                <w:sz w:val="28"/>
              </w:rPr>
              <w:t xml:space="preserve">і у Полтавській області, Головним </w:t>
            </w:r>
            <w:r w:rsidR="00EA2022">
              <w:rPr>
                <w:sz w:val="28"/>
              </w:rPr>
              <w:t xml:space="preserve"> управління</w:t>
            </w:r>
            <w:r w:rsidR="009A63CF">
              <w:rPr>
                <w:sz w:val="28"/>
              </w:rPr>
              <w:t>м</w:t>
            </w:r>
            <w:r w:rsidR="00EA2022">
              <w:rPr>
                <w:sz w:val="28"/>
              </w:rPr>
              <w:t xml:space="preserve"> Пенсійного фонду України в Полтавській області, райдержадміністрації, міськвиконкоми</w:t>
            </w:r>
            <w:r w:rsidR="00E1192A">
              <w:rPr>
                <w:sz w:val="28"/>
              </w:rPr>
              <w:t>.</w:t>
            </w:r>
          </w:p>
          <w:p w:rsidR="00EA2022" w:rsidRDefault="00EA2022" w:rsidP="00E1192A">
            <w:pPr>
              <w:jc w:val="both"/>
              <w:rPr>
                <w:sz w:val="28"/>
              </w:rPr>
            </w:pPr>
          </w:p>
        </w:tc>
      </w:tr>
      <w:tr w:rsidR="00EA2022">
        <w:tblPrEx>
          <w:tblCellMar>
            <w:top w:w="0" w:type="dxa"/>
            <w:bottom w:w="0" w:type="dxa"/>
          </w:tblCellMar>
        </w:tblPrEx>
        <w:tc>
          <w:tcPr>
            <w:tcW w:w="9888" w:type="dxa"/>
            <w:gridSpan w:val="2"/>
          </w:tcPr>
          <w:p w:rsidR="00085C52" w:rsidRDefault="00EA2022" w:rsidP="00E1192A">
            <w:pPr>
              <w:jc w:val="both"/>
              <w:rPr>
                <w:sz w:val="28"/>
              </w:rPr>
            </w:pPr>
            <w:r w:rsidRPr="00B63E7D">
              <w:rPr>
                <w:sz w:val="28"/>
              </w:rPr>
              <w:t>1.</w:t>
            </w:r>
            <w:r w:rsidR="007E7DA0">
              <w:rPr>
                <w:sz w:val="28"/>
              </w:rPr>
              <w:t>12</w:t>
            </w:r>
            <w:r w:rsidRPr="00B63E7D">
              <w:rPr>
                <w:sz w:val="28"/>
              </w:rPr>
              <w:t xml:space="preserve">. Сприяти мінімізації негативних наслідків зовнішньої трудової міграції, заохочувати повернення трудових мігрантів в Україну та сприяти їх адаптації </w:t>
            </w:r>
            <w:r w:rsidR="00E1192A">
              <w:rPr>
                <w:sz w:val="28"/>
              </w:rPr>
              <w:t>до</w:t>
            </w:r>
            <w:r w:rsidRPr="00B63E7D">
              <w:rPr>
                <w:sz w:val="28"/>
              </w:rPr>
              <w:t xml:space="preserve"> суспільств</w:t>
            </w:r>
            <w:r w:rsidR="00E1192A">
              <w:rPr>
                <w:sz w:val="28"/>
              </w:rPr>
              <w:t>а</w:t>
            </w:r>
            <w:r w:rsidRPr="00B63E7D">
              <w:rPr>
                <w:sz w:val="28"/>
              </w:rPr>
              <w:t>, розширювати систему міждержавних договорів про взаємне працевлаштування громадян та  їх соціальний захист</w:t>
            </w:r>
            <w:r w:rsidR="00E1192A">
              <w:rPr>
                <w:sz w:val="28"/>
              </w:rPr>
              <w:t>.</w:t>
            </w:r>
          </w:p>
          <w:p w:rsidR="00C50068" w:rsidRDefault="00C50068" w:rsidP="00E1192A">
            <w:pPr>
              <w:jc w:val="both"/>
              <w:rPr>
                <w:sz w:val="28"/>
              </w:rPr>
            </w:pPr>
          </w:p>
          <w:p w:rsidR="00EA2022" w:rsidRPr="00B63E7D" w:rsidRDefault="00EA2022" w:rsidP="00E1192A">
            <w:pPr>
              <w:jc w:val="both"/>
              <w:rPr>
                <w:sz w:val="28"/>
              </w:rPr>
            </w:pPr>
            <w:r w:rsidRPr="00B63E7D">
              <w:rPr>
                <w:sz w:val="28"/>
              </w:rPr>
              <w:t xml:space="preserve"> </w:t>
            </w:r>
          </w:p>
        </w:tc>
      </w:tr>
      <w:tr w:rsidR="00EA2022">
        <w:tblPrEx>
          <w:tblCellMar>
            <w:top w:w="0" w:type="dxa"/>
            <w:bottom w:w="0" w:type="dxa"/>
          </w:tblCellMar>
        </w:tblPrEx>
        <w:tc>
          <w:tcPr>
            <w:tcW w:w="2410" w:type="dxa"/>
          </w:tcPr>
          <w:p w:rsidR="00EA2022" w:rsidRDefault="00EA2022" w:rsidP="00E54F03">
            <w:pPr>
              <w:jc w:val="both"/>
              <w:rPr>
                <w:sz w:val="28"/>
              </w:rPr>
            </w:pPr>
            <w:r>
              <w:rPr>
                <w:sz w:val="28"/>
              </w:rPr>
              <w:t>Протягом 2011-2015 років</w:t>
            </w:r>
            <w:r w:rsidR="005C0193">
              <w:rPr>
                <w:sz w:val="28"/>
              </w:rPr>
              <w:t>.</w:t>
            </w:r>
          </w:p>
        </w:tc>
        <w:tc>
          <w:tcPr>
            <w:tcW w:w="7478" w:type="dxa"/>
          </w:tcPr>
          <w:p w:rsidR="00EA2022" w:rsidRDefault="00C80393" w:rsidP="005C0193">
            <w:pPr>
              <w:jc w:val="both"/>
              <w:rPr>
                <w:sz w:val="28"/>
              </w:rPr>
            </w:pPr>
            <w:r>
              <w:rPr>
                <w:sz w:val="28"/>
              </w:rPr>
              <w:t>Головне управління праці та соціального захисту населення облдержадміністрації спільно з обласним</w:t>
            </w:r>
            <w:r w:rsidR="00EA2022">
              <w:rPr>
                <w:sz w:val="28"/>
              </w:rPr>
              <w:t xml:space="preserve"> центр</w:t>
            </w:r>
            <w:r>
              <w:rPr>
                <w:sz w:val="28"/>
              </w:rPr>
              <w:t>ом зайнятості</w:t>
            </w:r>
            <w:r w:rsidR="005C0193">
              <w:rPr>
                <w:sz w:val="28"/>
              </w:rPr>
              <w:t>.</w:t>
            </w:r>
          </w:p>
          <w:p w:rsidR="00EA2022" w:rsidRDefault="00EA2022" w:rsidP="005C0193">
            <w:pPr>
              <w:jc w:val="both"/>
              <w:rPr>
                <w:sz w:val="28"/>
              </w:rPr>
            </w:pPr>
          </w:p>
        </w:tc>
      </w:tr>
      <w:tr w:rsidR="00EA2022">
        <w:tblPrEx>
          <w:tblCellMar>
            <w:top w:w="0" w:type="dxa"/>
            <w:bottom w:w="0" w:type="dxa"/>
          </w:tblCellMar>
        </w:tblPrEx>
        <w:tc>
          <w:tcPr>
            <w:tcW w:w="9888" w:type="dxa"/>
            <w:gridSpan w:val="2"/>
          </w:tcPr>
          <w:p w:rsidR="00EA2022" w:rsidRPr="00B63E7D" w:rsidRDefault="00EA2022" w:rsidP="005C0193">
            <w:pPr>
              <w:jc w:val="both"/>
              <w:rPr>
                <w:sz w:val="28"/>
              </w:rPr>
            </w:pPr>
            <w:r w:rsidRPr="00B63E7D">
              <w:rPr>
                <w:sz w:val="28"/>
              </w:rPr>
              <w:t>1.</w:t>
            </w:r>
            <w:r w:rsidR="00DB6206">
              <w:rPr>
                <w:sz w:val="28"/>
              </w:rPr>
              <w:t>13</w:t>
            </w:r>
            <w:r w:rsidRPr="00B63E7D">
              <w:rPr>
                <w:sz w:val="28"/>
              </w:rPr>
              <w:t>. Вдосконалювати організаційні заходи щодо запровадження та регулювання використання праці іноземних громадян</w:t>
            </w:r>
            <w:r w:rsidR="005C0193">
              <w:rPr>
                <w:sz w:val="28"/>
              </w:rPr>
              <w:t>.</w:t>
            </w:r>
          </w:p>
          <w:p w:rsidR="00EA2022" w:rsidRPr="00B63E7D" w:rsidRDefault="00EA2022" w:rsidP="005C0193">
            <w:pPr>
              <w:jc w:val="both"/>
              <w:rPr>
                <w:sz w:val="28"/>
              </w:rPr>
            </w:pPr>
          </w:p>
        </w:tc>
      </w:tr>
      <w:tr w:rsidR="00EA2022">
        <w:tblPrEx>
          <w:tblCellMar>
            <w:top w:w="0" w:type="dxa"/>
            <w:bottom w:w="0" w:type="dxa"/>
          </w:tblCellMar>
        </w:tblPrEx>
        <w:tc>
          <w:tcPr>
            <w:tcW w:w="2410" w:type="dxa"/>
          </w:tcPr>
          <w:p w:rsidR="00EA2022" w:rsidRDefault="00EA2022" w:rsidP="00E54F03">
            <w:pPr>
              <w:jc w:val="both"/>
              <w:rPr>
                <w:sz w:val="28"/>
              </w:rPr>
            </w:pPr>
            <w:r>
              <w:rPr>
                <w:sz w:val="28"/>
              </w:rPr>
              <w:t>Протягом 2011-2015 років</w:t>
            </w:r>
            <w:r w:rsidR="005C0193">
              <w:rPr>
                <w:sz w:val="28"/>
              </w:rPr>
              <w:t>.</w:t>
            </w:r>
          </w:p>
        </w:tc>
        <w:tc>
          <w:tcPr>
            <w:tcW w:w="7478" w:type="dxa"/>
          </w:tcPr>
          <w:p w:rsidR="00EA2022" w:rsidRDefault="00AD4FB1" w:rsidP="005C0193">
            <w:pPr>
              <w:jc w:val="both"/>
              <w:rPr>
                <w:sz w:val="28"/>
              </w:rPr>
            </w:pPr>
            <w:r>
              <w:rPr>
                <w:sz w:val="28"/>
              </w:rPr>
              <w:t>Головне управління праці та соціального захисту населення облдержадміністрації спільно з обласним</w:t>
            </w:r>
            <w:r w:rsidR="00EA2022">
              <w:rPr>
                <w:sz w:val="28"/>
              </w:rPr>
              <w:t xml:space="preserve"> центр</w:t>
            </w:r>
            <w:r>
              <w:rPr>
                <w:sz w:val="28"/>
              </w:rPr>
              <w:t>ом</w:t>
            </w:r>
            <w:r w:rsidR="00EA2022">
              <w:rPr>
                <w:sz w:val="28"/>
              </w:rPr>
              <w:t xml:space="preserve"> зайнятості, райдержадміністрації, міськвиконкоми</w:t>
            </w:r>
            <w:r w:rsidR="005C0193">
              <w:rPr>
                <w:sz w:val="28"/>
              </w:rPr>
              <w:t>.</w:t>
            </w:r>
          </w:p>
          <w:p w:rsidR="00EA2022" w:rsidRDefault="00EA2022" w:rsidP="005C0193">
            <w:pPr>
              <w:jc w:val="both"/>
              <w:rPr>
                <w:sz w:val="28"/>
              </w:rPr>
            </w:pPr>
          </w:p>
        </w:tc>
      </w:tr>
      <w:tr w:rsidR="00EA2022">
        <w:tblPrEx>
          <w:tblCellMar>
            <w:top w:w="0" w:type="dxa"/>
            <w:bottom w:w="0" w:type="dxa"/>
          </w:tblCellMar>
        </w:tblPrEx>
        <w:trPr>
          <w:cantSplit/>
        </w:trPr>
        <w:tc>
          <w:tcPr>
            <w:tcW w:w="9888" w:type="dxa"/>
            <w:gridSpan w:val="2"/>
            <w:vAlign w:val="center"/>
          </w:tcPr>
          <w:p w:rsidR="00EA2022" w:rsidRDefault="00EA2022" w:rsidP="00E54F03">
            <w:pPr>
              <w:jc w:val="center"/>
              <w:rPr>
                <w:b/>
                <w:sz w:val="28"/>
              </w:rPr>
            </w:pPr>
          </w:p>
          <w:p w:rsidR="00EA2022" w:rsidRPr="002D2DF1" w:rsidRDefault="00EA2022" w:rsidP="00E54F03">
            <w:pPr>
              <w:jc w:val="center"/>
              <w:rPr>
                <w:b/>
                <w:sz w:val="28"/>
                <w:szCs w:val="28"/>
              </w:rPr>
            </w:pPr>
            <w:r w:rsidRPr="002D2DF1">
              <w:rPr>
                <w:b/>
                <w:sz w:val="28"/>
                <w:szCs w:val="28"/>
              </w:rPr>
              <w:t>2.Оплата праці</w:t>
            </w:r>
            <w:r>
              <w:rPr>
                <w:b/>
                <w:sz w:val="28"/>
                <w:szCs w:val="28"/>
              </w:rPr>
              <w:t>, легалізація трудових відносин</w:t>
            </w:r>
          </w:p>
          <w:p w:rsidR="00EA2022" w:rsidRDefault="00EA2022" w:rsidP="00E54F03">
            <w:pPr>
              <w:jc w:val="center"/>
              <w:rPr>
                <w:sz w:val="28"/>
              </w:rPr>
            </w:pPr>
          </w:p>
        </w:tc>
      </w:tr>
      <w:tr w:rsidR="00EA2022">
        <w:tblPrEx>
          <w:tblCellMar>
            <w:top w:w="0" w:type="dxa"/>
            <w:bottom w:w="0" w:type="dxa"/>
          </w:tblCellMar>
        </w:tblPrEx>
        <w:trPr>
          <w:cantSplit/>
        </w:trPr>
        <w:tc>
          <w:tcPr>
            <w:tcW w:w="9888" w:type="dxa"/>
            <w:gridSpan w:val="2"/>
          </w:tcPr>
          <w:p w:rsidR="00EA2022" w:rsidRDefault="00EA2022" w:rsidP="005C0193">
            <w:pPr>
              <w:tabs>
                <w:tab w:val="left" w:pos="34"/>
                <w:tab w:val="left" w:pos="318"/>
              </w:tabs>
              <w:ind w:firstLine="34"/>
              <w:jc w:val="both"/>
              <w:rPr>
                <w:sz w:val="28"/>
              </w:rPr>
            </w:pPr>
            <w:r>
              <w:rPr>
                <w:sz w:val="28"/>
              </w:rPr>
              <w:t xml:space="preserve">2.1. </w:t>
            </w:r>
            <w:r w:rsidR="005C0193">
              <w:rPr>
                <w:sz w:val="28"/>
              </w:rPr>
              <w:t>У</w:t>
            </w:r>
            <w:r>
              <w:rPr>
                <w:sz w:val="28"/>
              </w:rPr>
              <w:t>жи</w:t>
            </w:r>
            <w:r w:rsidR="005C0193">
              <w:rPr>
                <w:sz w:val="28"/>
              </w:rPr>
              <w:t>ва</w:t>
            </w:r>
            <w:r>
              <w:rPr>
                <w:sz w:val="28"/>
              </w:rPr>
              <w:t xml:space="preserve">ти заходів </w:t>
            </w:r>
            <w:r w:rsidR="005C0193">
              <w:rPr>
                <w:sz w:val="28"/>
              </w:rPr>
              <w:t xml:space="preserve">щодо  погашення заборгованості </w:t>
            </w:r>
            <w:r>
              <w:rPr>
                <w:sz w:val="28"/>
              </w:rPr>
              <w:t>з виплати заробітної плати суб’єктами господарювання усіх форм власності та недопущення її виникне</w:t>
            </w:r>
            <w:r w:rsidR="005C0193">
              <w:rPr>
                <w:sz w:val="28"/>
              </w:rPr>
              <w:t>ння.</w:t>
            </w:r>
          </w:p>
          <w:p w:rsidR="00EA2022" w:rsidRDefault="00EA2022" w:rsidP="005C0193">
            <w:pPr>
              <w:jc w:val="both"/>
              <w:rPr>
                <w:sz w:val="28"/>
              </w:rPr>
            </w:pPr>
          </w:p>
        </w:tc>
      </w:tr>
      <w:tr w:rsidR="00EA2022">
        <w:tblPrEx>
          <w:tblCellMar>
            <w:top w:w="0" w:type="dxa"/>
            <w:bottom w:w="0" w:type="dxa"/>
          </w:tblCellMar>
        </w:tblPrEx>
        <w:tc>
          <w:tcPr>
            <w:tcW w:w="2410" w:type="dxa"/>
          </w:tcPr>
          <w:p w:rsidR="00EA2022" w:rsidRDefault="00EA2022" w:rsidP="00E54F03">
            <w:pPr>
              <w:jc w:val="both"/>
              <w:rPr>
                <w:sz w:val="28"/>
              </w:rPr>
            </w:pPr>
            <w:r>
              <w:rPr>
                <w:sz w:val="28"/>
              </w:rPr>
              <w:t>Протягом 2011-2015 років</w:t>
            </w:r>
            <w:r w:rsidR="00C906A7">
              <w:rPr>
                <w:sz w:val="28"/>
              </w:rPr>
              <w:t>.</w:t>
            </w:r>
          </w:p>
        </w:tc>
        <w:tc>
          <w:tcPr>
            <w:tcW w:w="7478" w:type="dxa"/>
          </w:tcPr>
          <w:p w:rsidR="00EA2022" w:rsidRDefault="00EA2022" w:rsidP="00C906A7">
            <w:pPr>
              <w:pStyle w:val="BodyText3"/>
              <w:jc w:val="both"/>
            </w:pPr>
            <w:r>
              <w:t>Головне управління праці та соціального захисту населення облдержадміністрації, Головне управління економіки облдержадміністрації, Головне управління промисловості та розвитку інфраструктури облдержадміністрації, Головне управління агропромислового розвитку облдерж</w:t>
            </w:r>
            <w:r w:rsidR="00CC7F22">
              <w:t>-</w:t>
            </w:r>
            <w:r>
              <w:t xml:space="preserve">адміністрації, Головне управління житлово-комунального господарства облдержадміністрації,  </w:t>
            </w:r>
            <w:r w:rsidR="00396005">
              <w:t xml:space="preserve">Головне управління юстиції у Полтавській області, </w:t>
            </w:r>
            <w:r>
              <w:t xml:space="preserve"> управління містобудування та архітектури облдержадміністрації, управління з питань розвитку споживчого ринку, сфери побутових послуг та підп</w:t>
            </w:r>
            <w:r w:rsidR="00973D02">
              <w:t>риємництва облдержадміністрації спільно з</w:t>
            </w:r>
            <w:r>
              <w:t xml:space="preserve"> Територіал</w:t>
            </w:r>
            <w:r w:rsidR="00973D02">
              <w:t>ьною державною інспекцією</w:t>
            </w:r>
            <w:r>
              <w:t xml:space="preserve"> праці у Полтавс</w:t>
            </w:r>
            <w:r w:rsidR="00973D02">
              <w:t>ькій області,</w:t>
            </w:r>
            <w:r w:rsidR="00DF0990">
              <w:t xml:space="preserve">  райдержадміністрації,  </w:t>
            </w:r>
            <w:r>
              <w:t>міськвиконкоми</w:t>
            </w:r>
            <w:r w:rsidR="00C906A7">
              <w:t>.</w:t>
            </w:r>
          </w:p>
          <w:p w:rsidR="00EA2022" w:rsidRDefault="00EA2022" w:rsidP="00C906A7">
            <w:pPr>
              <w:jc w:val="both"/>
              <w:rPr>
                <w:sz w:val="28"/>
              </w:rPr>
            </w:pPr>
          </w:p>
        </w:tc>
      </w:tr>
      <w:tr w:rsidR="00EA2022">
        <w:tblPrEx>
          <w:tblCellMar>
            <w:top w:w="0" w:type="dxa"/>
            <w:bottom w:w="0" w:type="dxa"/>
          </w:tblCellMar>
        </w:tblPrEx>
        <w:trPr>
          <w:cantSplit/>
        </w:trPr>
        <w:tc>
          <w:tcPr>
            <w:tcW w:w="9888" w:type="dxa"/>
            <w:gridSpan w:val="2"/>
          </w:tcPr>
          <w:p w:rsidR="00EA2022" w:rsidRDefault="00EA2022" w:rsidP="00E54F03">
            <w:pPr>
              <w:ind w:left="75"/>
              <w:jc w:val="both"/>
              <w:rPr>
                <w:sz w:val="28"/>
              </w:rPr>
            </w:pPr>
            <w:r>
              <w:rPr>
                <w:sz w:val="28"/>
              </w:rPr>
              <w:t xml:space="preserve">2.2. Забезпечити ефективну діяльність робочих груп </w:t>
            </w:r>
            <w:r w:rsidR="00C906A7">
              <w:rPr>
                <w:sz w:val="28"/>
              </w:rPr>
              <w:t>і</w:t>
            </w:r>
            <w:r>
              <w:rPr>
                <w:sz w:val="28"/>
              </w:rPr>
              <w:t>з координації роботи щодо легалізації виплати заробітної плати та зайнятості населення</w:t>
            </w:r>
            <w:r w:rsidR="00C906A7">
              <w:rPr>
                <w:sz w:val="28"/>
              </w:rPr>
              <w:t>.</w:t>
            </w:r>
          </w:p>
          <w:p w:rsidR="00EA2022" w:rsidRDefault="00EA2022" w:rsidP="00E54F03">
            <w:pPr>
              <w:ind w:left="75"/>
              <w:jc w:val="both"/>
              <w:rPr>
                <w:sz w:val="28"/>
              </w:rPr>
            </w:pPr>
          </w:p>
        </w:tc>
      </w:tr>
      <w:tr w:rsidR="00EA2022">
        <w:tblPrEx>
          <w:tblCellMar>
            <w:top w:w="0" w:type="dxa"/>
            <w:bottom w:w="0" w:type="dxa"/>
          </w:tblCellMar>
        </w:tblPrEx>
        <w:trPr>
          <w:cantSplit/>
        </w:trPr>
        <w:tc>
          <w:tcPr>
            <w:tcW w:w="2410" w:type="dxa"/>
          </w:tcPr>
          <w:p w:rsidR="00EA2022" w:rsidRDefault="00EA2022" w:rsidP="00E54F03">
            <w:pPr>
              <w:ind w:left="75"/>
              <w:jc w:val="both"/>
              <w:rPr>
                <w:sz w:val="28"/>
              </w:rPr>
            </w:pPr>
            <w:r>
              <w:rPr>
                <w:sz w:val="28"/>
              </w:rPr>
              <w:t>Протягом 2011-2015 років</w:t>
            </w:r>
            <w:r w:rsidR="00C906A7">
              <w:rPr>
                <w:sz w:val="28"/>
              </w:rPr>
              <w:t>.</w:t>
            </w:r>
          </w:p>
        </w:tc>
        <w:tc>
          <w:tcPr>
            <w:tcW w:w="7478" w:type="dxa"/>
          </w:tcPr>
          <w:p w:rsidR="00EA2022" w:rsidRDefault="005C16C1" w:rsidP="00C906A7">
            <w:pPr>
              <w:ind w:left="75"/>
              <w:jc w:val="both"/>
              <w:rPr>
                <w:sz w:val="28"/>
                <w:szCs w:val="28"/>
              </w:rPr>
            </w:pPr>
            <w:r>
              <w:rPr>
                <w:sz w:val="28"/>
                <w:szCs w:val="28"/>
              </w:rPr>
              <w:t>Г</w:t>
            </w:r>
            <w:r w:rsidRPr="00F00E45">
              <w:rPr>
                <w:sz w:val="28"/>
                <w:szCs w:val="28"/>
              </w:rPr>
              <w:t>оловне управління праці та соціального захисту населення</w:t>
            </w:r>
            <w:r>
              <w:rPr>
                <w:sz w:val="28"/>
                <w:szCs w:val="28"/>
              </w:rPr>
              <w:t xml:space="preserve"> облдержадміністрації спільно з Головним</w:t>
            </w:r>
            <w:r w:rsidR="00EA2022">
              <w:rPr>
                <w:sz w:val="28"/>
                <w:szCs w:val="28"/>
              </w:rPr>
              <w:t xml:space="preserve"> управління</w:t>
            </w:r>
            <w:r>
              <w:rPr>
                <w:sz w:val="28"/>
                <w:szCs w:val="28"/>
              </w:rPr>
              <w:t>м</w:t>
            </w:r>
            <w:r w:rsidR="00EA2022">
              <w:rPr>
                <w:sz w:val="28"/>
                <w:szCs w:val="28"/>
              </w:rPr>
              <w:t xml:space="preserve"> Пенсійного фонду України в Полтавській області, </w:t>
            </w:r>
            <w:r>
              <w:rPr>
                <w:sz w:val="28"/>
                <w:szCs w:val="28"/>
              </w:rPr>
              <w:t>Територіальною  державною інспекцією</w:t>
            </w:r>
            <w:r w:rsidR="00EA2022">
              <w:rPr>
                <w:sz w:val="28"/>
                <w:szCs w:val="28"/>
              </w:rPr>
              <w:t xml:space="preserve"> праці у Полтавській</w:t>
            </w:r>
            <w:r>
              <w:rPr>
                <w:sz w:val="28"/>
                <w:szCs w:val="28"/>
              </w:rPr>
              <w:t xml:space="preserve"> області, райдержадміністрації,</w:t>
            </w:r>
            <w:r w:rsidR="003A1B72">
              <w:rPr>
                <w:sz w:val="28"/>
                <w:szCs w:val="28"/>
              </w:rPr>
              <w:t xml:space="preserve"> </w:t>
            </w:r>
            <w:r w:rsidR="00EA2022">
              <w:rPr>
                <w:sz w:val="28"/>
                <w:szCs w:val="28"/>
              </w:rPr>
              <w:t>міськвикон</w:t>
            </w:r>
            <w:r w:rsidR="001F5E39">
              <w:rPr>
                <w:sz w:val="28"/>
                <w:szCs w:val="28"/>
              </w:rPr>
              <w:t>-</w:t>
            </w:r>
            <w:r w:rsidR="00EA2022">
              <w:rPr>
                <w:sz w:val="28"/>
                <w:szCs w:val="28"/>
              </w:rPr>
              <w:t>коми</w:t>
            </w:r>
            <w:r w:rsidR="00C906A7">
              <w:rPr>
                <w:sz w:val="28"/>
                <w:szCs w:val="28"/>
              </w:rPr>
              <w:t>.</w:t>
            </w:r>
          </w:p>
          <w:p w:rsidR="00EA2022" w:rsidRPr="00F00E45" w:rsidRDefault="00EA2022" w:rsidP="00C906A7">
            <w:pPr>
              <w:ind w:left="75"/>
              <w:jc w:val="both"/>
              <w:rPr>
                <w:sz w:val="28"/>
                <w:szCs w:val="28"/>
              </w:rPr>
            </w:pPr>
          </w:p>
        </w:tc>
      </w:tr>
      <w:tr w:rsidR="00EA2022">
        <w:tblPrEx>
          <w:tblCellMar>
            <w:top w:w="0" w:type="dxa"/>
            <w:bottom w:w="0" w:type="dxa"/>
          </w:tblCellMar>
        </w:tblPrEx>
        <w:trPr>
          <w:cantSplit/>
        </w:trPr>
        <w:tc>
          <w:tcPr>
            <w:tcW w:w="9888" w:type="dxa"/>
            <w:gridSpan w:val="2"/>
          </w:tcPr>
          <w:p w:rsidR="00EA2022" w:rsidRDefault="00EA2022" w:rsidP="00E54F03">
            <w:pPr>
              <w:ind w:left="75"/>
              <w:jc w:val="both"/>
              <w:rPr>
                <w:sz w:val="28"/>
              </w:rPr>
            </w:pPr>
            <w:r>
              <w:rPr>
                <w:sz w:val="28"/>
              </w:rPr>
              <w:t xml:space="preserve">2.3. </w:t>
            </w:r>
            <w:r w:rsidR="00C23D12">
              <w:rPr>
                <w:sz w:val="28"/>
              </w:rPr>
              <w:t>У</w:t>
            </w:r>
            <w:r>
              <w:rPr>
                <w:sz w:val="28"/>
              </w:rPr>
              <w:t>жи</w:t>
            </w:r>
            <w:r w:rsidR="00C23D12">
              <w:rPr>
                <w:sz w:val="28"/>
              </w:rPr>
              <w:t>ва</w:t>
            </w:r>
            <w:r>
              <w:rPr>
                <w:sz w:val="28"/>
              </w:rPr>
              <w:t>ти заходів щодо оптимізації мережі бюджетних установ з урахуванням потреб у наданні послуг та спрямування вивільнених коштів на підвищення заробітної плати працівникам бюджетної сфери</w:t>
            </w:r>
            <w:r w:rsidR="00C23D12">
              <w:rPr>
                <w:sz w:val="28"/>
              </w:rPr>
              <w:t>.</w:t>
            </w:r>
          </w:p>
          <w:p w:rsidR="00EA2022" w:rsidRDefault="00EA2022" w:rsidP="00E54F03">
            <w:pPr>
              <w:ind w:left="75"/>
              <w:jc w:val="both"/>
              <w:rPr>
                <w:sz w:val="28"/>
              </w:rPr>
            </w:pPr>
          </w:p>
        </w:tc>
      </w:tr>
      <w:tr w:rsidR="00EA2022">
        <w:tblPrEx>
          <w:tblCellMar>
            <w:top w:w="0" w:type="dxa"/>
            <w:bottom w:w="0" w:type="dxa"/>
          </w:tblCellMar>
        </w:tblPrEx>
        <w:trPr>
          <w:cantSplit/>
        </w:trPr>
        <w:tc>
          <w:tcPr>
            <w:tcW w:w="2410" w:type="dxa"/>
          </w:tcPr>
          <w:p w:rsidR="00EA2022" w:rsidRDefault="00EA2022" w:rsidP="00E54F03">
            <w:pPr>
              <w:ind w:left="75"/>
              <w:jc w:val="both"/>
              <w:rPr>
                <w:sz w:val="28"/>
              </w:rPr>
            </w:pPr>
            <w:r>
              <w:rPr>
                <w:sz w:val="28"/>
              </w:rPr>
              <w:t>Протягом 2011-2015 років</w:t>
            </w:r>
            <w:r w:rsidR="00B229E9">
              <w:rPr>
                <w:sz w:val="28"/>
              </w:rPr>
              <w:t>.</w:t>
            </w:r>
          </w:p>
        </w:tc>
        <w:tc>
          <w:tcPr>
            <w:tcW w:w="7478" w:type="dxa"/>
          </w:tcPr>
          <w:p w:rsidR="00EA2022" w:rsidRDefault="00EA2022" w:rsidP="00B229E9">
            <w:pPr>
              <w:ind w:left="75"/>
              <w:jc w:val="both"/>
              <w:rPr>
                <w:sz w:val="28"/>
              </w:rPr>
            </w:pPr>
            <w:r>
              <w:rPr>
                <w:sz w:val="28"/>
              </w:rPr>
              <w:t>Головне управління освіти і науки облдержадміністрації, Головне управління охорони здоров’я,</w:t>
            </w:r>
            <w:r w:rsidR="00302989">
              <w:rPr>
                <w:sz w:val="28"/>
              </w:rPr>
              <w:t xml:space="preserve"> Головне фінансове управління облдержадміністрації,</w:t>
            </w:r>
            <w:r>
              <w:rPr>
                <w:sz w:val="28"/>
              </w:rPr>
              <w:t xml:space="preserve"> управління культури облдержадміністрації,</w:t>
            </w:r>
            <w:r w:rsidR="00302989">
              <w:rPr>
                <w:sz w:val="28"/>
              </w:rPr>
              <w:t xml:space="preserve"> </w:t>
            </w:r>
            <w:r>
              <w:rPr>
                <w:sz w:val="28"/>
              </w:rPr>
              <w:t>райдержа</w:t>
            </w:r>
            <w:r w:rsidR="00302989">
              <w:rPr>
                <w:sz w:val="28"/>
              </w:rPr>
              <w:t xml:space="preserve">дміністрації, </w:t>
            </w:r>
            <w:r>
              <w:rPr>
                <w:sz w:val="28"/>
              </w:rPr>
              <w:t>міськви</w:t>
            </w:r>
            <w:r w:rsidR="00302989">
              <w:rPr>
                <w:sz w:val="28"/>
              </w:rPr>
              <w:t>-</w:t>
            </w:r>
            <w:r>
              <w:rPr>
                <w:sz w:val="28"/>
              </w:rPr>
              <w:t>конкоми</w:t>
            </w:r>
            <w:r w:rsidR="00B229E9">
              <w:rPr>
                <w:sz w:val="28"/>
              </w:rPr>
              <w:t>.</w:t>
            </w:r>
          </w:p>
          <w:p w:rsidR="00EA2022" w:rsidRDefault="00EA2022" w:rsidP="00B229E9">
            <w:pPr>
              <w:ind w:left="75"/>
              <w:jc w:val="both"/>
              <w:rPr>
                <w:sz w:val="28"/>
              </w:rPr>
            </w:pPr>
          </w:p>
        </w:tc>
      </w:tr>
      <w:tr w:rsidR="00EA2022">
        <w:tblPrEx>
          <w:tblCellMar>
            <w:top w:w="0" w:type="dxa"/>
            <w:bottom w:w="0" w:type="dxa"/>
          </w:tblCellMar>
        </w:tblPrEx>
        <w:trPr>
          <w:cantSplit/>
        </w:trPr>
        <w:tc>
          <w:tcPr>
            <w:tcW w:w="9888" w:type="dxa"/>
            <w:gridSpan w:val="2"/>
          </w:tcPr>
          <w:p w:rsidR="00EA2022" w:rsidRDefault="00EA2022" w:rsidP="00B229E9">
            <w:pPr>
              <w:ind w:left="75" w:hanging="75"/>
              <w:jc w:val="both"/>
              <w:rPr>
                <w:sz w:val="28"/>
              </w:rPr>
            </w:pPr>
            <w:r>
              <w:rPr>
                <w:sz w:val="28"/>
              </w:rPr>
              <w:t>2.4. Посилити контроль за дотриманням законодавства про працю, зокрема  щодо своєчасності виплати заробітної плати</w:t>
            </w:r>
            <w:r w:rsidR="00B229E9">
              <w:rPr>
                <w:sz w:val="28"/>
              </w:rPr>
              <w:t xml:space="preserve">, компенсації громадянам втрати </w:t>
            </w:r>
            <w:r>
              <w:rPr>
                <w:sz w:val="28"/>
              </w:rPr>
              <w:t>частини доходів у зв’язку з порушенням строків їх виплати, індексації грошових доходів населення, а також при звіль</w:t>
            </w:r>
            <w:r w:rsidR="00B229E9">
              <w:rPr>
                <w:sz w:val="28"/>
              </w:rPr>
              <w:t xml:space="preserve">ненні    працівників у зв’язку </w:t>
            </w:r>
            <w:r>
              <w:rPr>
                <w:sz w:val="28"/>
              </w:rPr>
              <w:t>з</w:t>
            </w:r>
            <w:r w:rsidR="00B229E9">
              <w:rPr>
                <w:sz w:val="28"/>
              </w:rPr>
              <w:t>і</w:t>
            </w:r>
            <w:r>
              <w:rPr>
                <w:sz w:val="28"/>
              </w:rPr>
              <w:t xml:space="preserve"> змінами в організації виробництва і праці.</w:t>
            </w:r>
          </w:p>
          <w:p w:rsidR="00EA2022" w:rsidRDefault="00EA2022" w:rsidP="00B229E9">
            <w:pPr>
              <w:jc w:val="both"/>
              <w:rPr>
                <w:sz w:val="28"/>
              </w:rPr>
            </w:pPr>
          </w:p>
        </w:tc>
      </w:tr>
      <w:tr w:rsidR="00EA2022">
        <w:tblPrEx>
          <w:tblCellMar>
            <w:top w:w="0" w:type="dxa"/>
            <w:bottom w:w="0" w:type="dxa"/>
          </w:tblCellMar>
        </w:tblPrEx>
        <w:tc>
          <w:tcPr>
            <w:tcW w:w="2410" w:type="dxa"/>
          </w:tcPr>
          <w:p w:rsidR="00EA2022" w:rsidRDefault="00EA2022" w:rsidP="00E54F03">
            <w:pPr>
              <w:jc w:val="both"/>
              <w:rPr>
                <w:sz w:val="28"/>
              </w:rPr>
            </w:pPr>
            <w:r>
              <w:rPr>
                <w:sz w:val="28"/>
              </w:rPr>
              <w:t>Протягом 2011-2015 років</w:t>
            </w:r>
            <w:r w:rsidR="00B229E9">
              <w:rPr>
                <w:sz w:val="28"/>
              </w:rPr>
              <w:t>.</w:t>
            </w:r>
          </w:p>
        </w:tc>
        <w:tc>
          <w:tcPr>
            <w:tcW w:w="7478" w:type="dxa"/>
          </w:tcPr>
          <w:p w:rsidR="00EA2022" w:rsidRDefault="00BA2AA1" w:rsidP="00B229E9">
            <w:pPr>
              <w:pStyle w:val="BodyText3"/>
              <w:jc w:val="both"/>
            </w:pPr>
            <w:r>
              <w:t>Головне  управління праці та соціального захисту населення облдержадміністрації спільно з  Територіальною держав</w:t>
            </w:r>
            <w:r w:rsidR="00B229E9">
              <w:t>-</w:t>
            </w:r>
            <w:r>
              <w:t>ною інспекцією</w:t>
            </w:r>
            <w:r w:rsidR="00EA2022">
              <w:t xml:space="preserve"> пра</w:t>
            </w:r>
            <w:r>
              <w:t>ці у Полтавській області</w:t>
            </w:r>
            <w:r w:rsidR="00B229E9">
              <w:t>.</w:t>
            </w:r>
            <w:r>
              <w:t xml:space="preserve"> </w:t>
            </w:r>
            <w:r w:rsidR="00EA2022">
              <w:t xml:space="preserve"> </w:t>
            </w:r>
          </w:p>
          <w:p w:rsidR="00EA2022" w:rsidRDefault="00EA2022" w:rsidP="00B229E9">
            <w:pPr>
              <w:jc w:val="both"/>
              <w:rPr>
                <w:sz w:val="28"/>
              </w:rPr>
            </w:pPr>
          </w:p>
        </w:tc>
      </w:tr>
      <w:tr w:rsidR="00EA2022">
        <w:tblPrEx>
          <w:tblCellMar>
            <w:top w:w="0" w:type="dxa"/>
            <w:bottom w:w="0" w:type="dxa"/>
          </w:tblCellMar>
        </w:tblPrEx>
        <w:tc>
          <w:tcPr>
            <w:tcW w:w="9888" w:type="dxa"/>
            <w:gridSpan w:val="2"/>
          </w:tcPr>
          <w:p w:rsidR="00EA2022" w:rsidRDefault="00060A57" w:rsidP="00B229E9">
            <w:pPr>
              <w:pStyle w:val="BodyText3"/>
              <w:jc w:val="both"/>
            </w:pPr>
            <w:r>
              <w:t xml:space="preserve">2.5. </w:t>
            </w:r>
            <w:r w:rsidR="00EA2022">
              <w:t>Забезпечити виконання вимог законодавства в частині своєчасності та повноти сплати єдиного внеску на загальнообов’язкове державне соціальне страхування з метою забезпечення захисту прав застрахованих осіб на отримання коштів та послуг за загальнообов’язковим державним соціальним страхуванням</w:t>
            </w:r>
            <w:r w:rsidR="00B229E9">
              <w:t>.</w:t>
            </w:r>
          </w:p>
          <w:p w:rsidR="00EA2022" w:rsidRDefault="00EA2022" w:rsidP="00B229E9">
            <w:pPr>
              <w:pStyle w:val="BodyText3"/>
              <w:jc w:val="both"/>
            </w:pPr>
          </w:p>
        </w:tc>
      </w:tr>
      <w:tr w:rsidR="00EA2022">
        <w:tblPrEx>
          <w:tblCellMar>
            <w:top w:w="0" w:type="dxa"/>
            <w:bottom w:w="0" w:type="dxa"/>
          </w:tblCellMar>
        </w:tblPrEx>
        <w:tc>
          <w:tcPr>
            <w:tcW w:w="2410" w:type="dxa"/>
          </w:tcPr>
          <w:p w:rsidR="00EA2022" w:rsidRDefault="00EA2022" w:rsidP="003F235F">
            <w:pPr>
              <w:jc w:val="both"/>
              <w:rPr>
                <w:sz w:val="28"/>
              </w:rPr>
            </w:pPr>
            <w:r>
              <w:rPr>
                <w:sz w:val="28"/>
              </w:rPr>
              <w:t>Протягом 2011-2015 років</w:t>
            </w:r>
            <w:r w:rsidR="00B229E9">
              <w:rPr>
                <w:sz w:val="28"/>
              </w:rPr>
              <w:t>.</w:t>
            </w:r>
          </w:p>
        </w:tc>
        <w:tc>
          <w:tcPr>
            <w:tcW w:w="7478" w:type="dxa"/>
          </w:tcPr>
          <w:p w:rsidR="00EA2022" w:rsidRDefault="00962489" w:rsidP="00B229E9">
            <w:pPr>
              <w:pStyle w:val="BodyText3"/>
              <w:jc w:val="both"/>
            </w:pPr>
            <w:r>
              <w:t>Головне управління Пенсійного фонду України в Полтавській області, р</w:t>
            </w:r>
            <w:r w:rsidR="00EA2022">
              <w:t>айдержадміністрації, міськви</w:t>
            </w:r>
            <w:r w:rsidR="00B229E9">
              <w:t>-</w:t>
            </w:r>
            <w:r w:rsidR="00EA2022">
              <w:t>конкоми</w:t>
            </w:r>
            <w:r w:rsidR="00B229E9">
              <w:t>.</w:t>
            </w:r>
          </w:p>
          <w:p w:rsidR="00EA2022" w:rsidRDefault="00EA2022" w:rsidP="00B229E9">
            <w:pPr>
              <w:pStyle w:val="BodyText3"/>
              <w:jc w:val="both"/>
            </w:pPr>
          </w:p>
        </w:tc>
      </w:tr>
      <w:tr w:rsidR="00EA2022">
        <w:tblPrEx>
          <w:tblCellMar>
            <w:top w:w="0" w:type="dxa"/>
            <w:bottom w:w="0" w:type="dxa"/>
          </w:tblCellMar>
        </w:tblPrEx>
        <w:trPr>
          <w:trHeight w:val="80"/>
        </w:trPr>
        <w:tc>
          <w:tcPr>
            <w:tcW w:w="9888" w:type="dxa"/>
            <w:gridSpan w:val="2"/>
          </w:tcPr>
          <w:p w:rsidR="00EA2022" w:rsidRDefault="00060A57" w:rsidP="00B229E9">
            <w:pPr>
              <w:jc w:val="both"/>
              <w:rPr>
                <w:sz w:val="28"/>
              </w:rPr>
            </w:pPr>
            <w:r>
              <w:rPr>
                <w:sz w:val="28"/>
              </w:rPr>
              <w:t xml:space="preserve">2.6.  </w:t>
            </w:r>
            <w:r w:rsidR="00EA2022">
              <w:rPr>
                <w:sz w:val="28"/>
              </w:rPr>
              <w:t>Забезпечити здійснення моніторингу господарської діяльності суб’єктів господарювання області, вчасне подання всіх необхідних матеріалів робочим групам з питань легалізації заробітної плати та зайнятості населення для проведення перевірок тих суб’єктів, що порушують трудове законодавство</w:t>
            </w:r>
            <w:r w:rsidR="00B229E9">
              <w:rPr>
                <w:sz w:val="28"/>
              </w:rPr>
              <w:t>.</w:t>
            </w:r>
          </w:p>
          <w:p w:rsidR="00EA2022" w:rsidRDefault="00EA2022" w:rsidP="00B229E9">
            <w:pPr>
              <w:pStyle w:val="BodyText3"/>
              <w:jc w:val="both"/>
            </w:pPr>
          </w:p>
        </w:tc>
      </w:tr>
      <w:tr w:rsidR="00EA2022">
        <w:tblPrEx>
          <w:tblCellMar>
            <w:top w:w="0" w:type="dxa"/>
            <w:bottom w:w="0" w:type="dxa"/>
          </w:tblCellMar>
        </w:tblPrEx>
        <w:tc>
          <w:tcPr>
            <w:tcW w:w="2410" w:type="dxa"/>
          </w:tcPr>
          <w:p w:rsidR="00EA2022" w:rsidRDefault="00EA2022" w:rsidP="009F7415">
            <w:pPr>
              <w:jc w:val="both"/>
              <w:rPr>
                <w:sz w:val="28"/>
              </w:rPr>
            </w:pPr>
            <w:r>
              <w:rPr>
                <w:sz w:val="28"/>
              </w:rPr>
              <w:t>Протягом 2011-2015 років</w:t>
            </w:r>
            <w:r w:rsidR="00B229E9">
              <w:rPr>
                <w:sz w:val="28"/>
              </w:rPr>
              <w:t>.</w:t>
            </w:r>
          </w:p>
        </w:tc>
        <w:tc>
          <w:tcPr>
            <w:tcW w:w="7478" w:type="dxa"/>
          </w:tcPr>
          <w:p w:rsidR="00EA2022" w:rsidRDefault="001838CF" w:rsidP="00B229E9">
            <w:pPr>
              <w:jc w:val="both"/>
              <w:rPr>
                <w:sz w:val="28"/>
              </w:rPr>
            </w:pPr>
            <w:r>
              <w:rPr>
                <w:sz w:val="28"/>
              </w:rPr>
              <w:t>Головне управління праці та соціального захисту населення облдержадміністрації спільно з Головним</w:t>
            </w:r>
            <w:r w:rsidR="00EA2022">
              <w:rPr>
                <w:sz w:val="28"/>
              </w:rPr>
              <w:t xml:space="preserve"> управління</w:t>
            </w:r>
            <w:r>
              <w:rPr>
                <w:sz w:val="28"/>
              </w:rPr>
              <w:t>м</w:t>
            </w:r>
            <w:r w:rsidR="00EA2022">
              <w:rPr>
                <w:sz w:val="28"/>
              </w:rPr>
              <w:t xml:space="preserve"> Пенсійного фонду України</w:t>
            </w:r>
            <w:r>
              <w:rPr>
                <w:sz w:val="28"/>
              </w:rPr>
              <w:t xml:space="preserve"> в Полтавській області, Державною податковою адміністрацією</w:t>
            </w:r>
            <w:r w:rsidR="00EA2022">
              <w:rPr>
                <w:sz w:val="28"/>
              </w:rPr>
              <w:t xml:space="preserve"> в По</w:t>
            </w:r>
            <w:r>
              <w:rPr>
                <w:sz w:val="28"/>
              </w:rPr>
              <w:t xml:space="preserve">лтавській області, </w:t>
            </w:r>
            <w:r w:rsidR="00EA2022">
              <w:rPr>
                <w:sz w:val="28"/>
              </w:rPr>
              <w:t>райдержадміністрації, міськвиконкоми</w:t>
            </w:r>
            <w:r w:rsidR="00B229E9">
              <w:rPr>
                <w:sz w:val="28"/>
              </w:rPr>
              <w:t>.</w:t>
            </w:r>
          </w:p>
          <w:p w:rsidR="00EA2022" w:rsidRDefault="00EA2022" w:rsidP="00B229E9">
            <w:pPr>
              <w:jc w:val="both"/>
              <w:rPr>
                <w:sz w:val="28"/>
              </w:rPr>
            </w:pPr>
          </w:p>
        </w:tc>
      </w:tr>
      <w:tr w:rsidR="00EA2022">
        <w:tblPrEx>
          <w:tblCellMar>
            <w:top w:w="0" w:type="dxa"/>
            <w:bottom w:w="0" w:type="dxa"/>
          </w:tblCellMar>
        </w:tblPrEx>
        <w:tc>
          <w:tcPr>
            <w:tcW w:w="9888" w:type="dxa"/>
            <w:gridSpan w:val="2"/>
          </w:tcPr>
          <w:p w:rsidR="00EA2022" w:rsidRDefault="00E529DC" w:rsidP="00966F4F">
            <w:pPr>
              <w:pStyle w:val="BodyText3"/>
              <w:jc w:val="both"/>
            </w:pPr>
            <w:r>
              <w:t xml:space="preserve">2.7. </w:t>
            </w:r>
            <w:r w:rsidR="00EA2022">
              <w:t xml:space="preserve">Здійснювати роз’яснювальну роботу </w:t>
            </w:r>
            <w:r w:rsidR="00C50068">
              <w:t>щодо залучення</w:t>
            </w:r>
            <w:r w:rsidR="00EA2022">
              <w:t xml:space="preserve"> до участі в добровільному соціальному страхуванні з метою забезпечення соціальних гарантій серед:</w:t>
            </w:r>
          </w:p>
          <w:p w:rsidR="00966F4F" w:rsidRDefault="00EA2022" w:rsidP="00966F4F">
            <w:pPr>
              <w:pStyle w:val="BodyText3"/>
              <w:ind w:left="570"/>
              <w:jc w:val="both"/>
            </w:pPr>
            <w:r>
              <w:t>громадян України, які працюють за межами України;</w:t>
            </w:r>
          </w:p>
          <w:p w:rsidR="00966F4F" w:rsidRDefault="00EA2022" w:rsidP="00966F4F">
            <w:pPr>
              <w:pStyle w:val="BodyText3"/>
              <w:ind w:firstLine="601"/>
              <w:jc w:val="both"/>
            </w:pPr>
            <w:r>
              <w:t>громадян, що проживають у сільській місцевості і працюють в особистих селянських господарствах;</w:t>
            </w:r>
          </w:p>
          <w:p w:rsidR="00EA2022" w:rsidRDefault="00EA2022" w:rsidP="00966F4F">
            <w:pPr>
              <w:pStyle w:val="BodyText3"/>
              <w:ind w:firstLine="601"/>
              <w:jc w:val="both"/>
            </w:pPr>
            <w:r>
              <w:t>молоді, що здобуває освіту і навчається у вищих або професійно-технічних закладах</w:t>
            </w:r>
            <w:r w:rsidR="001C0360">
              <w:t>.</w:t>
            </w:r>
          </w:p>
          <w:p w:rsidR="00EA2022" w:rsidRDefault="00EA2022" w:rsidP="001B5B00">
            <w:pPr>
              <w:pStyle w:val="BodyText3"/>
              <w:ind w:left="570"/>
            </w:pPr>
            <w:r>
              <w:t xml:space="preserve">                                                    </w:t>
            </w:r>
          </w:p>
        </w:tc>
      </w:tr>
      <w:tr w:rsidR="00EA2022">
        <w:tblPrEx>
          <w:tblCellMar>
            <w:top w:w="0" w:type="dxa"/>
            <w:bottom w:w="0" w:type="dxa"/>
          </w:tblCellMar>
        </w:tblPrEx>
        <w:tc>
          <w:tcPr>
            <w:tcW w:w="2410" w:type="dxa"/>
          </w:tcPr>
          <w:p w:rsidR="00EA2022" w:rsidRDefault="00EA2022" w:rsidP="003D15CC">
            <w:pPr>
              <w:jc w:val="both"/>
              <w:rPr>
                <w:sz w:val="28"/>
              </w:rPr>
            </w:pPr>
            <w:r>
              <w:rPr>
                <w:sz w:val="28"/>
              </w:rPr>
              <w:t>Протягом 2011-2015 років</w:t>
            </w:r>
            <w:r w:rsidR="001C0360">
              <w:rPr>
                <w:sz w:val="28"/>
              </w:rPr>
              <w:t>.</w:t>
            </w:r>
          </w:p>
        </w:tc>
        <w:tc>
          <w:tcPr>
            <w:tcW w:w="7478" w:type="dxa"/>
          </w:tcPr>
          <w:p w:rsidR="00EA2022" w:rsidRDefault="00EA2022" w:rsidP="001C0360">
            <w:pPr>
              <w:pStyle w:val="BodyText3"/>
              <w:jc w:val="both"/>
            </w:pPr>
            <w:r>
              <w:t>Головне управління Пенсійного фонду України в Полтавській області, райдержадміністрації, міськви</w:t>
            </w:r>
            <w:r w:rsidR="001C0360">
              <w:t>-</w:t>
            </w:r>
            <w:r>
              <w:t>конкоми</w:t>
            </w:r>
            <w:r w:rsidR="001C0360">
              <w:t>.</w:t>
            </w:r>
          </w:p>
        </w:tc>
      </w:tr>
      <w:tr w:rsidR="00EA2022">
        <w:tblPrEx>
          <w:tblCellMar>
            <w:top w:w="0" w:type="dxa"/>
            <w:bottom w:w="0" w:type="dxa"/>
          </w:tblCellMar>
        </w:tblPrEx>
        <w:trPr>
          <w:cantSplit/>
        </w:trPr>
        <w:tc>
          <w:tcPr>
            <w:tcW w:w="9888" w:type="dxa"/>
            <w:gridSpan w:val="2"/>
          </w:tcPr>
          <w:p w:rsidR="00EA2022" w:rsidRDefault="00EA2022" w:rsidP="00E54F03">
            <w:pPr>
              <w:jc w:val="center"/>
              <w:rPr>
                <w:b/>
                <w:sz w:val="28"/>
              </w:rPr>
            </w:pPr>
          </w:p>
          <w:p w:rsidR="00EA2022" w:rsidRPr="0050066D" w:rsidRDefault="00EA2022" w:rsidP="00E54F03">
            <w:pPr>
              <w:jc w:val="center"/>
              <w:rPr>
                <w:b/>
                <w:sz w:val="28"/>
                <w:szCs w:val="28"/>
              </w:rPr>
            </w:pPr>
            <w:r w:rsidRPr="0050066D">
              <w:rPr>
                <w:b/>
                <w:sz w:val="28"/>
                <w:szCs w:val="28"/>
              </w:rPr>
              <w:t xml:space="preserve">3. </w:t>
            </w:r>
            <w:r w:rsidR="00AC5623">
              <w:rPr>
                <w:b/>
                <w:sz w:val="28"/>
                <w:szCs w:val="28"/>
              </w:rPr>
              <w:t>У</w:t>
            </w:r>
            <w:r>
              <w:rPr>
                <w:b/>
                <w:sz w:val="28"/>
                <w:szCs w:val="28"/>
              </w:rPr>
              <w:t>досконалення механізмів</w:t>
            </w:r>
            <w:r w:rsidRPr="0050066D">
              <w:rPr>
                <w:b/>
                <w:sz w:val="28"/>
                <w:szCs w:val="28"/>
              </w:rPr>
              <w:t xml:space="preserve"> надання адресної соціальної допомоги та соціальних послуг</w:t>
            </w:r>
            <w:r>
              <w:rPr>
                <w:b/>
                <w:sz w:val="28"/>
                <w:szCs w:val="28"/>
              </w:rPr>
              <w:t>, посилення соціального захисту осіб, які потребують різних видів реабілітації</w:t>
            </w:r>
          </w:p>
          <w:p w:rsidR="00EA2022" w:rsidRDefault="00EA2022" w:rsidP="00E54F03">
            <w:pPr>
              <w:jc w:val="both"/>
              <w:rPr>
                <w:sz w:val="28"/>
              </w:rPr>
            </w:pPr>
          </w:p>
        </w:tc>
      </w:tr>
      <w:tr w:rsidR="00EA2022">
        <w:tblPrEx>
          <w:tblCellMar>
            <w:top w:w="0" w:type="dxa"/>
            <w:bottom w:w="0" w:type="dxa"/>
          </w:tblCellMar>
        </w:tblPrEx>
        <w:trPr>
          <w:cantSplit/>
        </w:trPr>
        <w:tc>
          <w:tcPr>
            <w:tcW w:w="9888" w:type="dxa"/>
            <w:gridSpan w:val="2"/>
          </w:tcPr>
          <w:p w:rsidR="00EA2022" w:rsidRDefault="00EA2022" w:rsidP="0098492D">
            <w:pPr>
              <w:pStyle w:val="BodyText2"/>
              <w:ind w:firstLine="34"/>
            </w:pPr>
            <w:r>
              <w:t xml:space="preserve">3.1. Проводити постійний моніторинг стану фінансування та виплати  допомоги сім’ям з дітьми, малозабезпеченим сім’ям, інвалідам </w:t>
            </w:r>
            <w:r w:rsidR="00AC5623">
              <w:t>і</w:t>
            </w:r>
            <w:r>
              <w:t>з дитинства та дітям-інвалідам в розрізі районів та вживати заходів щодо оперативного вирішення проблемних питань. Сприяти створенню єдиної інформаційно-аналітичної системи обліку та управління коштами соціальної сфери і запровадженню  електронної соціальної картки</w:t>
            </w:r>
            <w:r w:rsidR="00AC5623">
              <w:t>.</w:t>
            </w:r>
          </w:p>
          <w:p w:rsidR="00EA2022" w:rsidRDefault="00EA2022" w:rsidP="00E54F03">
            <w:pPr>
              <w:jc w:val="both"/>
              <w:rPr>
                <w:sz w:val="28"/>
              </w:rPr>
            </w:pPr>
          </w:p>
        </w:tc>
      </w:tr>
      <w:tr w:rsidR="00EA2022">
        <w:tblPrEx>
          <w:tblCellMar>
            <w:top w:w="0" w:type="dxa"/>
            <w:bottom w:w="0" w:type="dxa"/>
          </w:tblCellMar>
        </w:tblPrEx>
        <w:tc>
          <w:tcPr>
            <w:tcW w:w="2410" w:type="dxa"/>
          </w:tcPr>
          <w:p w:rsidR="00EA2022" w:rsidRDefault="00EA2022" w:rsidP="00E54F03">
            <w:pPr>
              <w:jc w:val="both"/>
              <w:rPr>
                <w:sz w:val="28"/>
              </w:rPr>
            </w:pPr>
            <w:r>
              <w:rPr>
                <w:sz w:val="28"/>
              </w:rPr>
              <w:t>Протягом 2011-2015 років</w:t>
            </w:r>
            <w:r w:rsidR="00AC5623">
              <w:rPr>
                <w:sz w:val="28"/>
              </w:rPr>
              <w:t>.</w:t>
            </w:r>
          </w:p>
        </w:tc>
        <w:tc>
          <w:tcPr>
            <w:tcW w:w="7478" w:type="dxa"/>
          </w:tcPr>
          <w:p w:rsidR="00EA2022" w:rsidRDefault="00EA2022" w:rsidP="00AC5623">
            <w:pPr>
              <w:jc w:val="both"/>
              <w:rPr>
                <w:sz w:val="28"/>
              </w:rPr>
            </w:pPr>
            <w:r>
              <w:rPr>
                <w:sz w:val="28"/>
              </w:rPr>
              <w:t>Головне управління праці та соціального захисту населення облдержадміністрації</w:t>
            </w:r>
            <w:r w:rsidR="007200F3">
              <w:rPr>
                <w:sz w:val="28"/>
              </w:rPr>
              <w:t>,</w:t>
            </w:r>
            <w:r w:rsidR="00AC5623">
              <w:rPr>
                <w:sz w:val="28"/>
              </w:rPr>
              <w:t xml:space="preserve"> </w:t>
            </w:r>
            <w:r w:rsidR="007200F3">
              <w:rPr>
                <w:sz w:val="28"/>
              </w:rPr>
              <w:t>райдержадміністрації,</w:t>
            </w:r>
            <w:r w:rsidR="00AC5623">
              <w:rPr>
                <w:sz w:val="28"/>
              </w:rPr>
              <w:t xml:space="preserve"> </w:t>
            </w:r>
            <w:r w:rsidR="007200F3">
              <w:rPr>
                <w:sz w:val="28"/>
              </w:rPr>
              <w:t>міськви</w:t>
            </w:r>
            <w:r w:rsidR="00AC5623">
              <w:rPr>
                <w:sz w:val="28"/>
              </w:rPr>
              <w:t>-</w:t>
            </w:r>
            <w:r w:rsidR="007200F3">
              <w:rPr>
                <w:sz w:val="28"/>
              </w:rPr>
              <w:t>конкоми</w:t>
            </w:r>
            <w:r w:rsidR="00AC5623">
              <w:rPr>
                <w:sz w:val="28"/>
              </w:rPr>
              <w:t>.</w:t>
            </w:r>
          </w:p>
          <w:p w:rsidR="00EA2022" w:rsidRDefault="00EA2022" w:rsidP="00AC5623">
            <w:pPr>
              <w:jc w:val="both"/>
              <w:rPr>
                <w:sz w:val="28"/>
              </w:rPr>
            </w:pPr>
          </w:p>
        </w:tc>
      </w:tr>
      <w:tr w:rsidR="00EA2022">
        <w:tblPrEx>
          <w:tblCellMar>
            <w:top w:w="0" w:type="dxa"/>
            <w:bottom w:w="0" w:type="dxa"/>
          </w:tblCellMar>
        </w:tblPrEx>
        <w:trPr>
          <w:cantSplit/>
        </w:trPr>
        <w:tc>
          <w:tcPr>
            <w:tcW w:w="9888" w:type="dxa"/>
            <w:gridSpan w:val="2"/>
          </w:tcPr>
          <w:p w:rsidR="00EA2022" w:rsidRDefault="00EA2022" w:rsidP="0098492D">
            <w:pPr>
              <w:ind w:left="34" w:hanging="34"/>
              <w:jc w:val="both"/>
              <w:rPr>
                <w:sz w:val="28"/>
              </w:rPr>
            </w:pPr>
            <w:r>
              <w:rPr>
                <w:sz w:val="28"/>
              </w:rPr>
              <w:t xml:space="preserve"> 3.2. Запровадити комплексну реабілітацію інвалідів та дітей-інвалідів на базі міських реабілітаційних центрів, Всеукраїнського та міжрегіональних центрів професійної реабілітації інвалідів</w:t>
            </w:r>
            <w:r w:rsidR="00AC5623">
              <w:rPr>
                <w:sz w:val="28"/>
              </w:rPr>
              <w:t>.</w:t>
            </w:r>
          </w:p>
          <w:p w:rsidR="00EA2022" w:rsidRDefault="00EA2022" w:rsidP="0098492D">
            <w:pPr>
              <w:ind w:left="34" w:hanging="34"/>
              <w:jc w:val="both"/>
              <w:rPr>
                <w:sz w:val="28"/>
              </w:rPr>
            </w:pPr>
          </w:p>
        </w:tc>
      </w:tr>
      <w:tr w:rsidR="00EA2022">
        <w:tblPrEx>
          <w:tblCellMar>
            <w:top w:w="0" w:type="dxa"/>
            <w:bottom w:w="0" w:type="dxa"/>
          </w:tblCellMar>
        </w:tblPrEx>
        <w:tc>
          <w:tcPr>
            <w:tcW w:w="2410" w:type="dxa"/>
          </w:tcPr>
          <w:p w:rsidR="00EA2022" w:rsidRDefault="00EA2022" w:rsidP="00E54F03">
            <w:pPr>
              <w:jc w:val="both"/>
              <w:rPr>
                <w:sz w:val="28"/>
              </w:rPr>
            </w:pPr>
            <w:r>
              <w:rPr>
                <w:sz w:val="28"/>
              </w:rPr>
              <w:t>Протягом 2011- 2015 років</w:t>
            </w:r>
            <w:r w:rsidR="00AC5623">
              <w:rPr>
                <w:sz w:val="28"/>
              </w:rPr>
              <w:t>.</w:t>
            </w:r>
          </w:p>
        </w:tc>
        <w:tc>
          <w:tcPr>
            <w:tcW w:w="7478" w:type="dxa"/>
          </w:tcPr>
          <w:p w:rsidR="00EA2022" w:rsidRDefault="00EA2022" w:rsidP="00AC5623">
            <w:pPr>
              <w:jc w:val="both"/>
              <w:rPr>
                <w:sz w:val="28"/>
                <w:szCs w:val="28"/>
              </w:rPr>
            </w:pPr>
            <w:r w:rsidRPr="00EA279C">
              <w:rPr>
                <w:sz w:val="28"/>
                <w:szCs w:val="28"/>
              </w:rPr>
              <w:t>Головне управління праці та соціального захисту</w:t>
            </w:r>
            <w:r w:rsidR="00AC5623">
              <w:rPr>
                <w:sz w:val="28"/>
                <w:szCs w:val="28"/>
              </w:rPr>
              <w:t xml:space="preserve"> </w:t>
            </w:r>
            <w:r w:rsidRPr="00EA279C">
              <w:rPr>
                <w:sz w:val="28"/>
                <w:szCs w:val="28"/>
              </w:rPr>
              <w:t>населення облдержадміністрації</w:t>
            </w:r>
            <w:r w:rsidR="00AA00C6">
              <w:rPr>
                <w:sz w:val="28"/>
                <w:szCs w:val="28"/>
              </w:rPr>
              <w:t xml:space="preserve"> спільно з обласним відділенням Фонду соціального захисту інвалідів</w:t>
            </w:r>
            <w:r>
              <w:rPr>
                <w:sz w:val="28"/>
                <w:szCs w:val="28"/>
              </w:rPr>
              <w:t>, райде</w:t>
            </w:r>
            <w:r w:rsidR="00AA00C6">
              <w:rPr>
                <w:sz w:val="28"/>
                <w:szCs w:val="28"/>
              </w:rPr>
              <w:t>ржадміністрації, міськвиконкоми</w:t>
            </w:r>
            <w:r w:rsidR="00AC5623">
              <w:rPr>
                <w:sz w:val="28"/>
                <w:szCs w:val="28"/>
              </w:rPr>
              <w:t>.</w:t>
            </w:r>
            <w:r>
              <w:rPr>
                <w:sz w:val="28"/>
                <w:szCs w:val="28"/>
              </w:rPr>
              <w:t xml:space="preserve"> </w:t>
            </w:r>
          </w:p>
          <w:p w:rsidR="00EA2022" w:rsidRPr="00EA279C" w:rsidRDefault="00EA2022" w:rsidP="00AC5623">
            <w:pPr>
              <w:jc w:val="both"/>
              <w:rPr>
                <w:sz w:val="28"/>
                <w:szCs w:val="28"/>
              </w:rPr>
            </w:pPr>
          </w:p>
        </w:tc>
      </w:tr>
      <w:tr w:rsidR="00EA2022">
        <w:tblPrEx>
          <w:tblCellMar>
            <w:top w:w="0" w:type="dxa"/>
            <w:bottom w:w="0" w:type="dxa"/>
          </w:tblCellMar>
        </w:tblPrEx>
        <w:trPr>
          <w:cantSplit/>
          <w:trHeight w:val="1137"/>
        </w:trPr>
        <w:tc>
          <w:tcPr>
            <w:tcW w:w="9888" w:type="dxa"/>
            <w:gridSpan w:val="2"/>
          </w:tcPr>
          <w:p w:rsidR="00EA2022" w:rsidRDefault="00EA2022" w:rsidP="00BB6461">
            <w:pPr>
              <w:pStyle w:val="BodyText2"/>
              <w:ind w:left="75" w:hanging="75"/>
            </w:pPr>
            <w:r>
              <w:t>3.3. Забезпечити охоплення  соціальним обслуговуванням  осіб, які перебувають у складних життєвих обставинах і мають потребу</w:t>
            </w:r>
            <w:r w:rsidR="000F77BB">
              <w:t xml:space="preserve"> в отриманні  соціальних послуг.</w:t>
            </w:r>
          </w:p>
        </w:tc>
      </w:tr>
      <w:tr w:rsidR="00EA2022">
        <w:tblPrEx>
          <w:tblCellMar>
            <w:top w:w="0" w:type="dxa"/>
            <w:bottom w:w="0" w:type="dxa"/>
          </w:tblCellMar>
        </w:tblPrEx>
        <w:trPr>
          <w:cantSplit/>
        </w:trPr>
        <w:tc>
          <w:tcPr>
            <w:tcW w:w="2410" w:type="dxa"/>
          </w:tcPr>
          <w:p w:rsidR="00EA2022" w:rsidRDefault="00EA2022" w:rsidP="00E54F03">
            <w:pPr>
              <w:pStyle w:val="BodyText2"/>
              <w:ind w:left="75"/>
            </w:pPr>
            <w:r>
              <w:t>Протягом 2011 – 2015 років</w:t>
            </w:r>
            <w:r w:rsidR="000F77BB">
              <w:t>.</w:t>
            </w:r>
          </w:p>
        </w:tc>
        <w:tc>
          <w:tcPr>
            <w:tcW w:w="7478" w:type="dxa"/>
          </w:tcPr>
          <w:p w:rsidR="00EA2022" w:rsidRDefault="00EA2022" w:rsidP="000F77BB">
            <w:pPr>
              <w:pStyle w:val="BodyText2"/>
              <w:ind w:left="75"/>
            </w:pPr>
            <w:r>
              <w:t>Головне управління праці та соціального захисту населення облдержадміністрації, райдержадміністрації, виконавчі комітети міських та районних у містах рад</w:t>
            </w:r>
            <w:r w:rsidR="000F77BB">
              <w:t>.</w:t>
            </w:r>
          </w:p>
          <w:p w:rsidR="00EA2022" w:rsidRDefault="00EA2022" w:rsidP="000F77BB">
            <w:pPr>
              <w:pStyle w:val="BodyText2"/>
              <w:ind w:left="75"/>
            </w:pPr>
          </w:p>
        </w:tc>
      </w:tr>
      <w:tr w:rsidR="00EA2022">
        <w:tblPrEx>
          <w:tblCellMar>
            <w:top w:w="0" w:type="dxa"/>
            <w:bottom w:w="0" w:type="dxa"/>
          </w:tblCellMar>
        </w:tblPrEx>
        <w:trPr>
          <w:cantSplit/>
        </w:trPr>
        <w:tc>
          <w:tcPr>
            <w:tcW w:w="9888" w:type="dxa"/>
            <w:gridSpan w:val="2"/>
          </w:tcPr>
          <w:p w:rsidR="00EA2022" w:rsidRDefault="00EA2022" w:rsidP="00397FF7">
            <w:pPr>
              <w:pStyle w:val="BodyText2"/>
              <w:ind w:left="75" w:hanging="41"/>
            </w:pPr>
            <w:r>
              <w:t>3.4. Створити (оптимізувати) з урахуванням фінансових можливостей та соціальних потреб регіону мережу закладів соціального захисту для бездомних осіб та установ соціальної адаптації осіб, звільнених з місць позбавлення волі, задіявши при цьому можливості обласної спостережної комісії для координації діяльності всіх структур, що опікуються вказаною проблемою</w:t>
            </w:r>
            <w:r w:rsidR="00E875A1">
              <w:t>.</w:t>
            </w:r>
          </w:p>
          <w:p w:rsidR="00EA2022" w:rsidRDefault="00EA2022" w:rsidP="00E54F03">
            <w:pPr>
              <w:jc w:val="both"/>
              <w:rPr>
                <w:sz w:val="28"/>
              </w:rPr>
            </w:pPr>
          </w:p>
        </w:tc>
      </w:tr>
      <w:tr w:rsidR="00EA2022">
        <w:tblPrEx>
          <w:tblCellMar>
            <w:top w:w="0" w:type="dxa"/>
            <w:bottom w:w="0" w:type="dxa"/>
          </w:tblCellMar>
        </w:tblPrEx>
        <w:tc>
          <w:tcPr>
            <w:tcW w:w="2410" w:type="dxa"/>
          </w:tcPr>
          <w:p w:rsidR="00EA2022" w:rsidRDefault="00EA2022" w:rsidP="00E54F03">
            <w:pPr>
              <w:jc w:val="both"/>
              <w:rPr>
                <w:sz w:val="28"/>
              </w:rPr>
            </w:pPr>
            <w:r>
              <w:rPr>
                <w:sz w:val="28"/>
              </w:rPr>
              <w:t>Протягом  2011 – 2015 років</w:t>
            </w:r>
            <w:r w:rsidR="00E875A1">
              <w:rPr>
                <w:sz w:val="28"/>
              </w:rPr>
              <w:t>.</w:t>
            </w:r>
          </w:p>
        </w:tc>
        <w:tc>
          <w:tcPr>
            <w:tcW w:w="7478" w:type="dxa"/>
          </w:tcPr>
          <w:p w:rsidR="00EA2022" w:rsidRDefault="00EA2022" w:rsidP="00E875A1">
            <w:pPr>
              <w:pStyle w:val="BodyText2"/>
            </w:pPr>
            <w:r>
              <w:t xml:space="preserve">Головне управління праці та соціального захисту </w:t>
            </w:r>
            <w:r w:rsidR="004F4AA9">
              <w:t xml:space="preserve">населення облдержадміністрації  спільно з </w:t>
            </w:r>
            <w:r>
              <w:t>Управлін</w:t>
            </w:r>
            <w:r w:rsidR="004F4AA9">
              <w:t xml:space="preserve">ням </w:t>
            </w:r>
            <w:r>
              <w:t>МВС України в Полтавській області, райдержадміністрації, міськви</w:t>
            </w:r>
            <w:r w:rsidR="00E875A1">
              <w:t>-</w:t>
            </w:r>
            <w:r>
              <w:t>конкоми</w:t>
            </w:r>
            <w:r w:rsidR="00E875A1">
              <w:t>.</w:t>
            </w:r>
          </w:p>
          <w:p w:rsidR="00EA2022" w:rsidRDefault="00EA2022" w:rsidP="00E875A1">
            <w:pPr>
              <w:jc w:val="both"/>
              <w:rPr>
                <w:sz w:val="28"/>
              </w:rPr>
            </w:pPr>
          </w:p>
        </w:tc>
      </w:tr>
      <w:tr w:rsidR="00EA2022">
        <w:tblPrEx>
          <w:tblCellMar>
            <w:top w:w="0" w:type="dxa"/>
            <w:bottom w:w="0" w:type="dxa"/>
          </w:tblCellMar>
        </w:tblPrEx>
        <w:tc>
          <w:tcPr>
            <w:tcW w:w="9888" w:type="dxa"/>
            <w:gridSpan w:val="2"/>
          </w:tcPr>
          <w:p w:rsidR="00EA2022" w:rsidRDefault="00EA2022" w:rsidP="00BF17DB">
            <w:pPr>
              <w:pStyle w:val="BodyText2"/>
              <w:ind w:left="34" w:hanging="34"/>
            </w:pPr>
            <w:r>
              <w:t>3.5. Налагодити ефективну взаємодію між структурами соціального захисту населення та органів внутрішніх справ регіону у вирішенні питань щодо надання допомоги у відновленні документів і реєстрації місця проживання або перебування особам, звільненим з місць позбавлення волі</w:t>
            </w:r>
            <w:r w:rsidR="00BF17DB">
              <w:t>.</w:t>
            </w:r>
          </w:p>
          <w:p w:rsidR="00EA2022" w:rsidRDefault="00EA2022" w:rsidP="00BF17DB">
            <w:pPr>
              <w:pStyle w:val="BodyText2"/>
              <w:ind w:left="34" w:hanging="34"/>
            </w:pPr>
          </w:p>
        </w:tc>
      </w:tr>
      <w:tr w:rsidR="00EA2022">
        <w:tblPrEx>
          <w:tblCellMar>
            <w:top w:w="0" w:type="dxa"/>
            <w:bottom w:w="0" w:type="dxa"/>
          </w:tblCellMar>
        </w:tblPrEx>
        <w:tc>
          <w:tcPr>
            <w:tcW w:w="2410" w:type="dxa"/>
          </w:tcPr>
          <w:p w:rsidR="00EA2022" w:rsidRDefault="00EA2022" w:rsidP="00E54F03">
            <w:pPr>
              <w:jc w:val="both"/>
              <w:rPr>
                <w:sz w:val="28"/>
              </w:rPr>
            </w:pPr>
            <w:r>
              <w:rPr>
                <w:sz w:val="28"/>
              </w:rPr>
              <w:t>Протягом 2011 – 2015 років</w:t>
            </w:r>
            <w:r w:rsidR="00BF17DB">
              <w:rPr>
                <w:sz w:val="28"/>
              </w:rPr>
              <w:t>.</w:t>
            </w:r>
          </w:p>
        </w:tc>
        <w:tc>
          <w:tcPr>
            <w:tcW w:w="7478" w:type="dxa"/>
          </w:tcPr>
          <w:p w:rsidR="00EA2022" w:rsidRDefault="00EA2022" w:rsidP="00BF17DB">
            <w:pPr>
              <w:pStyle w:val="BodyText2"/>
            </w:pPr>
            <w:r>
              <w:t>Головне управління праці та соціального захисту населення облдержадміністрації, Головне управління освіти і науки облдержадміністрації, Головне управління охорони</w:t>
            </w:r>
            <w:r w:rsidR="00D31271">
              <w:t xml:space="preserve"> здоров’я облдержадміністрації спільно з </w:t>
            </w:r>
            <w:r>
              <w:t>Управління</w:t>
            </w:r>
            <w:r w:rsidR="00D31271">
              <w:t>м</w:t>
            </w:r>
            <w:r>
              <w:t xml:space="preserve"> МВС України</w:t>
            </w:r>
            <w:r w:rsidR="00D31271">
              <w:t xml:space="preserve"> в Полтавській області, обласним</w:t>
            </w:r>
            <w:r>
              <w:t xml:space="preserve"> центр</w:t>
            </w:r>
            <w:r w:rsidR="00D31271">
              <w:t>ом</w:t>
            </w:r>
            <w:r>
              <w:t xml:space="preserve"> зайнятості, райдержадміністрації, міськвиконкоми</w:t>
            </w:r>
            <w:r w:rsidR="00BF17DB">
              <w:t>.</w:t>
            </w:r>
          </w:p>
          <w:p w:rsidR="00EA2022" w:rsidRDefault="00EA2022" w:rsidP="00BF17DB">
            <w:pPr>
              <w:pStyle w:val="BodyText2"/>
            </w:pPr>
          </w:p>
        </w:tc>
      </w:tr>
      <w:tr w:rsidR="00EA2022">
        <w:tblPrEx>
          <w:tblCellMar>
            <w:top w:w="0" w:type="dxa"/>
            <w:bottom w:w="0" w:type="dxa"/>
          </w:tblCellMar>
        </w:tblPrEx>
        <w:tc>
          <w:tcPr>
            <w:tcW w:w="9888" w:type="dxa"/>
            <w:gridSpan w:val="2"/>
          </w:tcPr>
          <w:p w:rsidR="00EA2022" w:rsidRDefault="00EA2022" w:rsidP="00BF17DB">
            <w:pPr>
              <w:pStyle w:val="BodyText2"/>
              <w:ind w:left="34" w:hanging="34"/>
            </w:pPr>
            <w:r>
              <w:t>3.6. Продовжити практику координаційної діяльності обласної та районних спостережних комісій, спрямовану на всебічне нада</w:t>
            </w:r>
            <w:r w:rsidR="00536205">
              <w:t xml:space="preserve">ння допомоги </w:t>
            </w:r>
            <w:r w:rsidR="00BF17DB">
              <w:t>в</w:t>
            </w:r>
            <w:r w:rsidR="00536205">
              <w:t xml:space="preserve"> </w:t>
            </w:r>
            <w:r>
              <w:t xml:space="preserve"> соціальній адаптації осіб, звіл</w:t>
            </w:r>
            <w:r w:rsidR="009674E7">
              <w:t>ьнених з місць позбавлення волі</w:t>
            </w:r>
            <w:r w:rsidR="00BF17DB">
              <w:t>.</w:t>
            </w:r>
            <w:r>
              <w:t xml:space="preserve"> </w:t>
            </w:r>
          </w:p>
          <w:p w:rsidR="00EA2022" w:rsidRDefault="00EA2022" w:rsidP="00BF17DB">
            <w:pPr>
              <w:pStyle w:val="BodyText2"/>
              <w:ind w:left="34" w:hanging="34"/>
            </w:pPr>
          </w:p>
        </w:tc>
      </w:tr>
      <w:tr w:rsidR="00BF17DB">
        <w:tblPrEx>
          <w:tblCellMar>
            <w:top w:w="0" w:type="dxa"/>
            <w:bottom w:w="0" w:type="dxa"/>
          </w:tblCellMar>
        </w:tblPrEx>
        <w:tc>
          <w:tcPr>
            <w:tcW w:w="2410" w:type="dxa"/>
          </w:tcPr>
          <w:p w:rsidR="00BF17DB" w:rsidRDefault="00BF17DB" w:rsidP="00BF17DB">
            <w:pPr>
              <w:jc w:val="both"/>
              <w:rPr>
                <w:sz w:val="28"/>
              </w:rPr>
            </w:pPr>
            <w:r>
              <w:rPr>
                <w:sz w:val="28"/>
              </w:rPr>
              <w:t>Протягом 2011 – 2015 років.</w:t>
            </w:r>
          </w:p>
        </w:tc>
        <w:tc>
          <w:tcPr>
            <w:tcW w:w="7478" w:type="dxa"/>
          </w:tcPr>
          <w:p w:rsidR="00BF17DB" w:rsidRDefault="00BF17DB" w:rsidP="00FF4484">
            <w:pPr>
              <w:pStyle w:val="BodyText2"/>
            </w:pPr>
            <w:r>
              <w:t>Головне управління праці та соціального захисту населення облдержадміністрації спільно з Управлінням  МВС України в Полтавській області, райдержадміністрації, міськви</w:t>
            </w:r>
            <w:r w:rsidR="00FF4484">
              <w:t>-</w:t>
            </w:r>
            <w:r>
              <w:t>конкоми  спільно з громадськими організаціями, діяльність яких спрямована на підтримку осіб, звільнених з місць позбавлення волі</w:t>
            </w:r>
            <w:r w:rsidR="00FF4484">
              <w:t>.</w:t>
            </w:r>
          </w:p>
          <w:p w:rsidR="00BF17DB" w:rsidRDefault="00BF17DB" w:rsidP="00FF4484">
            <w:pPr>
              <w:pStyle w:val="BodyText2"/>
            </w:pPr>
            <w:r>
              <w:t xml:space="preserve"> </w:t>
            </w:r>
          </w:p>
        </w:tc>
      </w:tr>
      <w:tr w:rsidR="00BF17DB">
        <w:tblPrEx>
          <w:tblCellMar>
            <w:top w:w="0" w:type="dxa"/>
            <w:bottom w:w="0" w:type="dxa"/>
          </w:tblCellMar>
        </w:tblPrEx>
        <w:tc>
          <w:tcPr>
            <w:tcW w:w="9888" w:type="dxa"/>
            <w:gridSpan w:val="2"/>
          </w:tcPr>
          <w:p w:rsidR="00BF17DB" w:rsidRDefault="00BF17DB" w:rsidP="001640A2">
            <w:pPr>
              <w:pStyle w:val="BodyText2"/>
            </w:pPr>
            <w:r>
              <w:t xml:space="preserve">3.7. </w:t>
            </w:r>
            <w:r w:rsidR="001640A2">
              <w:t>Сприяти створенню в області недержавних пенсійних фондів з</w:t>
            </w:r>
            <w:r>
              <w:t xml:space="preserve"> метою можливості отримання громадянами  додаткових соціальних гарантій при досягненні пенсійного віку</w:t>
            </w:r>
            <w:r w:rsidR="001640A2">
              <w:t>.</w:t>
            </w:r>
            <w:r>
              <w:t xml:space="preserve"> </w:t>
            </w:r>
          </w:p>
          <w:p w:rsidR="00BF17DB" w:rsidRDefault="00BF17DB" w:rsidP="001640A2">
            <w:pPr>
              <w:pStyle w:val="BodyText2"/>
            </w:pPr>
          </w:p>
        </w:tc>
      </w:tr>
      <w:tr w:rsidR="00BF17DB">
        <w:tblPrEx>
          <w:tblCellMar>
            <w:top w:w="0" w:type="dxa"/>
            <w:bottom w:w="0" w:type="dxa"/>
          </w:tblCellMar>
        </w:tblPrEx>
        <w:tc>
          <w:tcPr>
            <w:tcW w:w="2410" w:type="dxa"/>
          </w:tcPr>
          <w:p w:rsidR="00BF17DB" w:rsidRDefault="00BF17DB" w:rsidP="00E54F03">
            <w:pPr>
              <w:jc w:val="both"/>
              <w:rPr>
                <w:sz w:val="28"/>
              </w:rPr>
            </w:pPr>
            <w:r>
              <w:rPr>
                <w:sz w:val="28"/>
              </w:rPr>
              <w:t>Протягом 2011 – 2015 років</w:t>
            </w:r>
            <w:r w:rsidR="00864625">
              <w:rPr>
                <w:sz w:val="28"/>
              </w:rPr>
              <w:t>.</w:t>
            </w:r>
          </w:p>
        </w:tc>
        <w:tc>
          <w:tcPr>
            <w:tcW w:w="7478" w:type="dxa"/>
          </w:tcPr>
          <w:p w:rsidR="00BF17DB" w:rsidRDefault="00BF17DB" w:rsidP="00864625">
            <w:pPr>
              <w:pStyle w:val="BodyText2"/>
            </w:pPr>
            <w:r>
              <w:t>Головне управління Пенсійного фонду України в Полтавській області, райдержадміністрації, міськвикон</w:t>
            </w:r>
            <w:r w:rsidR="00864625">
              <w:t>-</w:t>
            </w:r>
            <w:r>
              <w:t>коми</w:t>
            </w:r>
            <w:r w:rsidR="00864625">
              <w:t>.</w:t>
            </w:r>
          </w:p>
          <w:p w:rsidR="00BF17DB" w:rsidRDefault="00BF17DB" w:rsidP="00864625">
            <w:pPr>
              <w:pStyle w:val="BodyText2"/>
            </w:pPr>
          </w:p>
        </w:tc>
      </w:tr>
      <w:tr w:rsidR="00BF17DB">
        <w:tblPrEx>
          <w:tblCellMar>
            <w:top w:w="0" w:type="dxa"/>
            <w:bottom w:w="0" w:type="dxa"/>
          </w:tblCellMar>
        </w:tblPrEx>
        <w:trPr>
          <w:cantSplit/>
        </w:trPr>
        <w:tc>
          <w:tcPr>
            <w:tcW w:w="9888" w:type="dxa"/>
            <w:gridSpan w:val="2"/>
          </w:tcPr>
          <w:p w:rsidR="00C50068" w:rsidRDefault="00C50068" w:rsidP="00E54F03">
            <w:pPr>
              <w:jc w:val="center"/>
              <w:rPr>
                <w:b/>
                <w:sz w:val="28"/>
                <w:szCs w:val="28"/>
              </w:rPr>
            </w:pPr>
          </w:p>
          <w:p w:rsidR="00BF17DB" w:rsidRPr="00F43388" w:rsidRDefault="00BF17DB" w:rsidP="00E54F03">
            <w:pPr>
              <w:jc w:val="center"/>
              <w:rPr>
                <w:b/>
                <w:sz w:val="28"/>
                <w:szCs w:val="28"/>
              </w:rPr>
            </w:pPr>
            <w:r w:rsidRPr="00F43388">
              <w:rPr>
                <w:b/>
                <w:sz w:val="28"/>
                <w:szCs w:val="28"/>
              </w:rPr>
              <w:t>4. Соціальна підтримка сімей з дітьми</w:t>
            </w:r>
            <w:r>
              <w:rPr>
                <w:b/>
                <w:sz w:val="28"/>
                <w:szCs w:val="28"/>
              </w:rPr>
              <w:t>, дітей-сиріт</w:t>
            </w:r>
            <w:r w:rsidRPr="00F43388">
              <w:rPr>
                <w:b/>
                <w:sz w:val="28"/>
                <w:szCs w:val="28"/>
              </w:rPr>
              <w:t xml:space="preserve"> та дітей, позбавлених батьківського піклування </w:t>
            </w:r>
          </w:p>
          <w:p w:rsidR="00BF17DB" w:rsidRDefault="00BF17DB" w:rsidP="00E54F03">
            <w:pPr>
              <w:jc w:val="center"/>
              <w:rPr>
                <w:b/>
                <w:sz w:val="28"/>
              </w:rPr>
            </w:pPr>
          </w:p>
        </w:tc>
      </w:tr>
      <w:tr w:rsidR="00BF17DB">
        <w:tblPrEx>
          <w:tblCellMar>
            <w:top w:w="0" w:type="dxa"/>
            <w:bottom w:w="0" w:type="dxa"/>
          </w:tblCellMar>
        </w:tblPrEx>
        <w:trPr>
          <w:cantSplit/>
        </w:trPr>
        <w:tc>
          <w:tcPr>
            <w:tcW w:w="9888" w:type="dxa"/>
            <w:gridSpan w:val="2"/>
          </w:tcPr>
          <w:p w:rsidR="00BF17DB" w:rsidRDefault="00BF17DB" w:rsidP="00E54F03">
            <w:pPr>
              <w:jc w:val="both"/>
              <w:rPr>
                <w:sz w:val="28"/>
              </w:rPr>
            </w:pPr>
            <w:r>
              <w:rPr>
                <w:sz w:val="28"/>
              </w:rPr>
              <w:t>4.1. Забезпечити виконання обласних цільових соціальних програм оздоровлення та відпочинку дітей на період до 2015 року</w:t>
            </w:r>
            <w:r w:rsidR="00A02485">
              <w:rPr>
                <w:sz w:val="28"/>
              </w:rPr>
              <w:t>.</w:t>
            </w:r>
          </w:p>
          <w:p w:rsidR="00BF17DB" w:rsidRDefault="00BF17DB" w:rsidP="00E54F03">
            <w:pPr>
              <w:jc w:val="both"/>
              <w:rPr>
                <w:sz w:val="28"/>
              </w:rPr>
            </w:pPr>
          </w:p>
        </w:tc>
      </w:tr>
      <w:tr w:rsidR="00BF17DB">
        <w:tblPrEx>
          <w:tblCellMar>
            <w:top w:w="0" w:type="dxa"/>
            <w:bottom w:w="0" w:type="dxa"/>
          </w:tblCellMar>
        </w:tblPrEx>
        <w:trPr>
          <w:cantSplit/>
        </w:trPr>
        <w:tc>
          <w:tcPr>
            <w:tcW w:w="2410" w:type="dxa"/>
          </w:tcPr>
          <w:p w:rsidR="00BF17DB" w:rsidRDefault="00BF17DB" w:rsidP="00E54F03">
            <w:pPr>
              <w:jc w:val="both"/>
              <w:rPr>
                <w:sz w:val="28"/>
              </w:rPr>
            </w:pPr>
            <w:r>
              <w:rPr>
                <w:sz w:val="28"/>
              </w:rPr>
              <w:t>Протягом 2011 – 2015 років</w:t>
            </w:r>
            <w:r w:rsidR="00A02485">
              <w:rPr>
                <w:sz w:val="28"/>
              </w:rPr>
              <w:t>.</w:t>
            </w:r>
            <w:r>
              <w:rPr>
                <w:sz w:val="28"/>
              </w:rPr>
              <w:t xml:space="preserve"> </w:t>
            </w:r>
          </w:p>
        </w:tc>
        <w:tc>
          <w:tcPr>
            <w:tcW w:w="7478" w:type="dxa"/>
          </w:tcPr>
          <w:p w:rsidR="00BF17DB" w:rsidRDefault="00BF17DB" w:rsidP="00A02485">
            <w:pPr>
              <w:jc w:val="both"/>
              <w:rPr>
                <w:sz w:val="28"/>
              </w:rPr>
            </w:pPr>
            <w:r>
              <w:rPr>
                <w:sz w:val="28"/>
              </w:rPr>
              <w:t>Головне управління освіти і науки облдержадміністрації, Головне фінансове управління облдержадміністрації, відділ у справах сім’ї та молоді облдержадміністрації, мережа центрів соціальних служб для сім’ї, дітей та молоді, райдержадміністрації, міськвиконкоми</w:t>
            </w:r>
            <w:r w:rsidR="00A02485">
              <w:rPr>
                <w:sz w:val="28"/>
              </w:rPr>
              <w:t>.</w:t>
            </w:r>
          </w:p>
          <w:p w:rsidR="00BF17DB" w:rsidRDefault="00BF17DB" w:rsidP="00A02485">
            <w:pPr>
              <w:jc w:val="both"/>
              <w:rPr>
                <w:sz w:val="28"/>
              </w:rPr>
            </w:pPr>
          </w:p>
        </w:tc>
      </w:tr>
      <w:tr w:rsidR="00BF17DB">
        <w:tblPrEx>
          <w:tblCellMar>
            <w:top w:w="0" w:type="dxa"/>
            <w:bottom w:w="0" w:type="dxa"/>
          </w:tblCellMar>
        </w:tblPrEx>
        <w:trPr>
          <w:cantSplit/>
        </w:trPr>
        <w:tc>
          <w:tcPr>
            <w:tcW w:w="9888" w:type="dxa"/>
            <w:gridSpan w:val="2"/>
          </w:tcPr>
          <w:p w:rsidR="00BF17DB" w:rsidRDefault="00BF17DB" w:rsidP="00E54F03">
            <w:pPr>
              <w:jc w:val="both"/>
              <w:rPr>
                <w:sz w:val="28"/>
              </w:rPr>
            </w:pPr>
            <w:r>
              <w:rPr>
                <w:sz w:val="28"/>
              </w:rPr>
              <w:t>4.2. Оптимізувати мережу дошкільних навчальних закладів на якісно новій основі та стимулювання батьків до здобуття дітьми обов’язкової дошкільної освіти</w:t>
            </w:r>
            <w:r w:rsidR="00A02485">
              <w:rPr>
                <w:sz w:val="28"/>
              </w:rPr>
              <w:t>.</w:t>
            </w:r>
          </w:p>
          <w:p w:rsidR="00BF17DB" w:rsidRDefault="00BF17DB" w:rsidP="00E54F03">
            <w:pPr>
              <w:jc w:val="both"/>
              <w:rPr>
                <w:sz w:val="28"/>
              </w:rPr>
            </w:pPr>
          </w:p>
        </w:tc>
      </w:tr>
      <w:tr w:rsidR="00BF17DB">
        <w:tblPrEx>
          <w:tblCellMar>
            <w:top w:w="0" w:type="dxa"/>
            <w:bottom w:w="0" w:type="dxa"/>
          </w:tblCellMar>
        </w:tblPrEx>
        <w:tc>
          <w:tcPr>
            <w:tcW w:w="2410" w:type="dxa"/>
          </w:tcPr>
          <w:p w:rsidR="00BF17DB" w:rsidRDefault="00BF17DB" w:rsidP="00E54F03">
            <w:pPr>
              <w:jc w:val="both"/>
              <w:rPr>
                <w:sz w:val="28"/>
              </w:rPr>
            </w:pPr>
            <w:r>
              <w:rPr>
                <w:sz w:val="28"/>
              </w:rPr>
              <w:t>Протягом 2011 – 2015 років</w:t>
            </w:r>
            <w:r w:rsidR="00A02485">
              <w:rPr>
                <w:sz w:val="28"/>
              </w:rPr>
              <w:t>.</w:t>
            </w:r>
            <w:r>
              <w:rPr>
                <w:sz w:val="28"/>
              </w:rPr>
              <w:t xml:space="preserve"> </w:t>
            </w:r>
          </w:p>
        </w:tc>
        <w:tc>
          <w:tcPr>
            <w:tcW w:w="7478" w:type="dxa"/>
          </w:tcPr>
          <w:p w:rsidR="00BF17DB" w:rsidRDefault="00BF17DB" w:rsidP="00A02485">
            <w:pPr>
              <w:jc w:val="both"/>
              <w:rPr>
                <w:sz w:val="28"/>
              </w:rPr>
            </w:pPr>
            <w:r>
              <w:rPr>
                <w:sz w:val="28"/>
              </w:rPr>
              <w:t>Головне управління освіти і науки облдержадміністрації,  райдерж</w:t>
            </w:r>
            <w:r w:rsidR="00A02485">
              <w:rPr>
                <w:sz w:val="28"/>
              </w:rPr>
              <w:t>адміністрації, міськвиконкоми.</w:t>
            </w:r>
          </w:p>
          <w:p w:rsidR="00BF17DB" w:rsidRDefault="00BF17DB" w:rsidP="00A02485">
            <w:pPr>
              <w:jc w:val="both"/>
              <w:rPr>
                <w:sz w:val="28"/>
              </w:rPr>
            </w:pPr>
          </w:p>
        </w:tc>
      </w:tr>
      <w:tr w:rsidR="00BF17DB">
        <w:tblPrEx>
          <w:tblCellMar>
            <w:top w:w="0" w:type="dxa"/>
            <w:bottom w:w="0" w:type="dxa"/>
          </w:tblCellMar>
        </w:tblPrEx>
        <w:tc>
          <w:tcPr>
            <w:tcW w:w="9888" w:type="dxa"/>
            <w:gridSpan w:val="2"/>
          </w:tcPr>
          <w:p w:rsidR="00BF17DB" w:rsidRDefault="00BF17DB" w:rsidP="00B82BFA">
            <w:pPr>
              <w:jc w:val="both"/>
              <w:rPr>
                <w:sz w:val="28"/>
              </w:rPr>
            </w:pPr>
            <w:r>
              <w:rPr>
                <w:sz w:val="28"/>
              </w:rPr>
              <w:t>4.3. Забезпечити виявлення та надання соціальної допомоги дітям, які опинилися</w:t>
            </w:r>
            <w:r w:rsidR="00B82BFA">
              <w:rPr>
                <w:sz w:val="28"/>
              </w:rPr>
              <w:t xml:space="preserve"> в складних життєвих обставинах.</w:t>
            </w:r>
          </w:p>
          <w:p w:rsidR="00BF17DB" w:rsidRDefault="00BF17DB" w:rsidP="00B82BFA">
            <w:pPr>
              <w:jc w:val="both"/>
              <w:rPr>
                <w:sz w:val="28"/>
              </w:rPr>
            </w:pPr>
            <w:r>
              <w:rPr>
                <w:sz w:val="28"/>
              </w:rPr>
              <w:t xml:space="preserve"> </w:t>
            </w:r>
          </w:p>
        </w:tc>
      </w:tr>
      <w:tr w:rsidR="00BF17DB">
        <w:tblPrEx>
          <w:tblCellMar>
            <w:top w:w="0" w:type="dxa"/>
            <w:bottom w:w="0" w:type="dxa"/>
          </w:tblCellMar>
        </w:tblPrEx>
        <w:tc>
          <w:tcPr>
            <w:tcW w:w="2410" w:type="dxa"/>
          </w:tcPr>
          <w:p w:rsidR="00BF17DB" w:rsidRDefault="00BF17DB" w:rsidP="00E54F03">
            <w:pPr>
              <w:jc w:val="both"/>
              <w:rPr>
                <w:sz w:val="28"/>
              </w:rPr>
            </w:pPr>
            <w:r>
              <w:rPr>
                <w:sz w:val="28"/>
              </w:rPr>
              <w:t>Протягом 2011 – 2015 років</w:t>
            </w:r>
            <w:r w:rsidR="00B82BFA">
              <w:rPr>
                <w:sz w:val="28"/>
              </w:rPr>
              <w:t>.</w:t>
            </w:r>
          </w:p>
        </w:tc>
        <w:tc>
          <w:tcPr>
            <w:tcW w:w="7478" w:type="dxa"/>
          </w:tcPr>
          <w:p w:rsidR="00BF17DB" w:rsidRDefault="00BF17DB" w:rsidP="00B82BFA">
            <w:pPr>
              <w:jc w:val="both"/>
              <w:rPr>
                <w:sz w:val="28"/>
              </w:rPr>
            </w:pPr>
            <w:r>
              <w:rPr>
                <w:sz w:val="28"/>
              </w:rPr>
              <w:t>Служба у справах дітей облдержадміністрації, Полтавський обласний центр соціальних служб для сім’ї, дітей та молоді, райдержадміністрації, міськвиконкоми</w:t>
            </w:r>
            <w:r w:rsidR="00B82BFA">
              <w:rPr>
                <w:sz w:val="28"/>
              </w:rPr>
              <w:t>.</w:t>
            </w:r>
            <w:r>
              <w:rPr>
                <w:sz w:val="28"/>
              </w:rPr>
              <w:t xml:space="preserve"> </w:t>
            </w:r>
          </w:p>
          <w:p w:rsidR="00BF17DB" w:rsidRDefault="00BF17DB" w:rsidP="00B82BFA">
            <w:pPr>
              <w:jc w:val="both"/>
              <w:rPr>
                <w:sz w:val="28"/>
              </w:rPr>
            </w:pPr>
          </w:p>
        </w:tc>
      </w:tr>
      <w:tr w:rsidR="00BF17DB">
        <w:tblPrEx>
          <w:tblCellMar>
            <w:top w:w="0" w:type="dxa"/>
            <w:bottom w:w="0" w:type="dxa"/>
          </w:tblCellMar>
        </w:tblPrEx>
        <w:trPr>
          <w:cantSplit/>
        </w:trPr>
        <w:tc>
          <w:tcPr>
            <w:tcW w:w="9888" w:type="dxa"/>
            <w:gridSpan w:val="2"/>
          </w:tcPr>
          <w:p w:rsidR="00BF17DB" w:rsidRPr="00012695" w:rsidRDefault="00BF17DB" w:rsidP="007C012F">
            <w:pPr>
              <w:ind w:firstLine="34"/>
              <w:jc w:val="both"/>
              <w:rPr>
                <w:sz w:val="28"/>
              </w:rPr>
            </w:pPr>
            <w:r w:rsidRPr="00012695">
              <w:rPr>
                <w:sz w:val="28"/>
              </w:rPr>
              <w:t xml:space="preserve">4.4. З метою забезпечення прав дітей-сиріт та дітей, позбавлених батьківського піклування, на сімейне виховання, сприяти створенню прийомних сімей та дитячих будинків сімейного типу шляхом проведення інформаційних кампаній та забезпечення їх соціального супроводу. Забезпечити проведення навчання для кандидатів </w:t>
            </w:r>
            <w:r w:rsidR="00B82BFA">
              <w:rPr>
                <w:sz w:val="28"/>
              </w:rPr>
              <w:t>у</w:t>
            </w:r>
            <w:r w:rsidRPr="00012695">
              <w:rPr>
                <w:sz w:val="28"/>
              </w:rPr>
              <w:t xml:space="preserve"> прийомні батьки та батьки-вихователі. </w:t>
            </w:r>
          </w:p>
          <w:p w:rsidR="00BF17DB" w:rsidRPr="00012695" w:rsidRDefault="00BF17DB" w:rsidP="00E54F03">
            <w:pPr>
              <w:jc w:val="both"/>
              <w:rPr>
                <w:sz w:val="28"/>
              </w:rPr>
            </w:pPr>
            <w:r w:rsidRPr="00012695">
              <w:rPr>
                <w:sz w:val="28"/>
              </w:rPr>
              <w:t xml:space="preserve"> </w:t>
            </w:r>
          </w:p>
        </w:tc>
      </w:tr>
      <w:tr w:rsidR="00BF17DB">
        <w:tblPrEx>
          <w:tblCellMar>
            <w:top w:w="0" w:type="dxa"/>
            <w:bottom w:w="0" w:type="dxa"/>
          </w:tblCellMar>
        </w:tblPrEx>
        <w:tc>
          <w:tcPr>
            <w:tcW w:w="2410" w:type="dxa"/>
          </w:tcPr>
          <w:p w:rsidR="00BF17DB" w:rsidRPr="00012695" w:rsidRDefault="00BF17DB" w:rsidP="00E54F03">
            <w:pPr>
              <w:jc w:val="both"/>
              <w:rPr>
                <w:sz w:val="28"/>
              </w:rPr>
            </w:pPr>
            <w:r w:rsidRPr="00012695">
              <w:rPr>
                <w:sz w:val="28"/>
              </w:rPr>
              <w:t>Протягом  2011 – 2015 років</w:t>
            </w:r>
            <w:r w:rsidR="00B82BFA">
              <w:rPr>
                <w:sz w:val="28"/>
              </w:rPr>
              <w:t>.</w:t>
            </w:r>
          </w:p>
        </w:tc>
        <w:tc>
          <w:tcPr>
            <w:tcW w:w="7478" w:type="dxa"/>
          </w:tcPr>
          <w:p w:rsidR="00BF17DB" w:rsidRDefault="00BF17DB" w:rsidP="00B82BFA">
            <w:pPr>
              <w:jc w:val="both"/>
              <w:rPr>
                <w:sz w:val="28"/>
              </w:rPr>
            </w:pPr>
            <w:r w:rsidRPr="009B6821">
              <w:rPr>
                <w:sz w:val="28"/>
              </w:rPr>
              <w:t>Служба у справах дітей облдержадміністрації, Полтавський обласний центр соціальних служб для сім’ї, дітей та молоді, райдержадміністрації, міськвиконкоми</w:t>
            </w:r>
            <w:r w:rsidR="00B82BFA">
              <w:rPr>
                <w:sz w:val="28"/>
              </w:rPr>
              <w:t>.</w:t>
            </w:r>
          </w:p>
          <w:p w:rsidR="00BF17DB" w:rsidRPr="009B6821" w:rsidRDefault="00BF17DB" w:rsidP="00B82BFA">
            <w:pPr>
              <w:jc w:val="both"/>
              <w:rPr>
                <w:sz w:val="28"/>
              </w:rPr>
            </w:pPr>
          </w:p>
        </w:tc>
      </w:tr>
      <w:tr w:rsidR="00BF17DB">
        <w:tblPrEx>
          <w:tblCellMar>
            <w:top w:w="0" w:type="dxa"/>
            <w:bottom w:w="0" w:type="dxa"/>
          </w:tblCellMar>
        </w:tblPrEx>
        <w:tc>
          <w:tcPr>
            <w:tcW w:w="9888" w:type="dxa"/>
            <w:gridSpan w:val="2"/>
          </w:tcPr>
          <w:p w:rsidR="00C50068" w:rsidRDefault="00BF17DB" w:rsidP="00B82BFA">
            <w:pPr>
              <w:jc w:val="both"/>
              <w:rPr>
                <w:sz w:val="28"/>
              </w:rPr>
            </w:pPr>
            <w:r>
              <w:rPr>
                <w:sz w:val="28"/>
              </w:rPr>
              <w:t>4.5. Забезпечити комплексну (соціальну, психологічну, медичну) реабілітацію дітей, які перебувають у притулках для дітей області</w:t>
            </w:r>
            <w:r w:rsidR="00B82BFA">
              <w:rPr>
                <w:sz w:val="28"/>
              </w:rPr>
              <w:t>,</w:t>
            </w:r>
            <w:r>
              <w:rPr>
                <w:sz w:val="28"/>
              </w:rPr>
              <w:t xml:space="preserve"> та надання їм інших видів допомог</w:t>
            </w:r>
            <w:r w:rsidR="00B82BFA">
              <w:rPr>
                <w:sz w:val="28"/>
              </w:rPr>
              <w:t>.</w:t>
            </w:r>
          </w:p>
          <w:p w:rsidR="00BF17DB" w:rsidRPr="009B6821" w:rsidRDefault="00BF17DB" w:rsidP="00B82BFA">
            <w:pPr>
              <w:jc w:val="both"/>
              <w:rPr>
                <w:sz w:val="28"/>
              </w:rPr>
            </w:pPr>
            <w:r>
              <w:rPr>
                <w:sz w:val="28"/>
              </w:rPr>
              <w:t xml:space="preserve"> </w:t>
            </w:r>
          </w:p>
        </w:tc>
      </w:tr>
      <w:tr w:rsidR="00BF17DB">
        <w:tblPrEx>
          <w:tblCellMar>
            <w:top w:w="0" w:type="dxa"/>
            <w:bottom w:w="0" w:type="dxa"/>
          </w:tblCellMar>
        </w:tblPrEx>
        <w:tc>
          <w:tcPr>
            <w:tcW w:w="2410" w:type="dxa"/>
          </w:tcPr>
          <w:p w:rsidR="00BF17DB" w:rsidRPr="00012695" w:rsidRDefault="00BF17DB" w:rsidP="00CD597D">
            <w:pPr>
              <w:jc w:val="both"/>
              <w:rPr>
                <w:sz w:val="28"/>
              </w:rPr>
            </w:pPr>
            <w:r w:rsidRPr="00012695">
              <w:rPr>
                <w:sz w:val="28"/>
              </w:rPr>
              <w:t>Протягом  2011 – 2015 років</w:t>
            </w:r>
            <w:r w:rsidR="00B82BFA">
              <w:rPr>
                <w:sz w:val="28"/>
              </w:rPr>
              <w:t>.</w:t>
            </w:r>
          </w:p>
        </w:tc>
        <w:tc>
          <w:tcPr>
            <w:tcW w:w="7478" w:type="dxa"/>
          </w:tcPr>
          <w:p w:rsidR="00BF17DB" w:rsidRDefault="00BF17DB" w:rsidP="00B82BFA">
            <w:pPr>
              <w:jc w:val="both"/>
              <w:rPr>
                <w:sz w:val="28"/>
              </w:rPr>
            </w:pPr>
            <w:r>
              <w:rPr>
                <w:sz w:val="28"/>
              </w:rPr>
              <w:t>Служба у справах дітей облдержадміністрації, виконком Комсомольської міськ</w:t>
            </w:r>
            <w:r w:rsidR="00C50068">
              <w:rPr>
                <w:sz w:val="28"/>
              </w:rPr>
              <w:t>ої ради, виконком Автозаводської</w:t>
            </w:r>
            <w:r>
              <w:rPr>
                <w:sz w:val="28"/>
              </w:rPr>
              <w:t xml:space="preserve"> районної у м. Кременчуці ради</w:t>
            </w:r>
            <w:r w:rsidR="00B82BFA">
              <w:rPr>
                <w:sz w:val="28"/>
              </w:rPr>
              <w:t>.</w:t>
            </w:r>
          </w:p>
          <w:p w:rsidR="00BF17DB" w:rsidRPr="009B6821" w:rsidRDefault="00BF17DB" w:rsidP="00B82BFA">
            <w:pPr>
              <w:jc w:val="both"/>
              <w:rPr>
                <w:sz w:val="28"/>
              </w:rPr>
            </w:pPr>
          </w:p>
        </w:tc>
      </w:tr>
      <w:tr w:rsidR="00BF17DB">
        <w:tblPrEx>
          <w:tblCellMar>
            <w:top w:w="0" w:type="dxa"/>
            <w:bottom w:w="0" w:type="dxa"/>
          </w:tblCellMar>
        </w:tblPrEx>
        <w:trPr>
          <w:cantSplit/>
        </w:trPr>
        <w:tc>
          <w:tcPr>
            <w:tcW w:w="9888" w:type="dxa"/>
            <w:gridSpan w:val="2"/>
          </w:tcPr>
          <w:p w:rsidR="00BF17DB" w:rsidRDefault="00BF17DB" w:rsidP="00A3690F">
            <w:pPr>
              <w:ind w:firstLine="34"/>
              <w:jc w:val="both"/>
              <w:rPr>
                <w:sz w:val="28"/>
              </w:rPr>
            </w:pPr>
            <w:r>
              <w:rPr>
                <w:sz w:val="28"/>
              </w:rPr>
              <w:t xml:space="preserve">4.6. </w:t>
            </w:r>
            <w:r w:rsidR="001C3598">
              <w:rPr>
                <w:sz w:val="28"/>
              </w:rPr>
              <w:t>У</w:t>
            </w:r>
            <w:r>
              <w:rPr>
                <w:sz w:val="28"/>
              </w:rPr>
              <w:t>жи</w:t>
            </w:r>
            <w:r w:rsidR="001C3598">
              <w:rPr>
                <w:sz w:val="28"/>
              </w:rPr>
              <w:t>ва</w:t>
            </w:r>
            <w:r>
              <w:rPr>
                <w:sz w:val="28"/>
              </w:rPr>
              <w:t xml:space="preserve">ти заходів щодо попередження насильства в сім’ях та сприяти формуванню відповідального ставлення батьків до забезпечення всебічного розвитку та виховання дітей. Проводити інформаційно-просвітницьку роботу щодо збереження рівня репродуктивного здоров’я. </w:t>
            </w:r>
          </w:p>
          <w:p w:rsidR="00BF17DB" w:rsidRDefault="00BF17DB" w:rsidP="00E54F03">
            <w:pPr>
              <w:jc w:val="both"/>
              <w:rPr>
                <w:sz w:val="28"/>
              </w:rPr>
            </w:pPr>
          </w:p>
        </w:tc>
      </w:tr>
      <w:tr w:rsidR="00BF17DB">
        <w:tblPrEx>
          <w:tblCellMar>
            <w:top w:w="0" w:type="dxa"/>
            <w:bottom w:w="0" w:type="dxa"/>
          </w:tblCellMar>
        </w:tblPrEx>
        <w:tc>
          <w:tcPr>
            <w:tcW w:w="2410" w:type="dxa"/>
          </w:tcPr>
          <w:p w:rsidR="00BF17DB" w:rsidRDefault="00BF17DB" w:rsidP="00E54F03">
            <w:pPr>
              <w:jc w:val="both"/>
              <w:rPr>
                <w:sz w:val="28"/>
              </w:rPr>
            </w:pPr>
            <w:r>
              <w:rPr>
                <w:sz w:val="28"/>
              </w:rPr>
              <w:t>Протягом 2011 – 2015 років</w:t>
            </w:r>
            <w:r w:rsidR="001C3598">
              <w:rPr>
                <w:sz w:val="28"/>
              </w:rPr>
              <w:t>.</w:t>
            </w:r>
          </w:p>
        </w:tc>
        <w:tc>
          <w:tcPr>
            <w:tcW w:w="7478" w:type="dxa"/>
          </w:tcPr>
          <w:p w:rsidR="00506864" w:rsidRDefault="00506864" w:rsidP="00506864">
            <w:pPr>
              <w:jc w:val="both"/>
              <w:rPr>
                <w:sz w:val="28"/>
              </w:rPr>
            </w:pPr>
            <w:r>
              <w:rPr>
                <w:sz w:val="28"/>
              </w:rPr>
              <w:t>Відділ у справах сім’ї та молоді облдержадміністрації служба у справах дітей облдержадміністрації, Полтавський обласний центр соціальних служб для сім’ї, дітей та молоді спільно з Управлінням  МВС України у Полтавській області.</w:t>
            </w:r>
          </w:p>
          <w:p w:rsidR="00BF17DB" w:rsidRDefault="00BF17DB" w:rsidP="001C3598">
            <w:pPr>
              <w:jc w:val="both"/>
              <w:rPr>
                <w:sz w:val="28"/>
              </w:rPr>
            </w:pPr>
          </w:p>
        </w:tc>
      </w:tr>
      <w:tr w:rsidR="00BF17DB">
        <w:tblPrEx>
          <w:tblCellMar>
            <w:top w:w="0" w:type="dxa"/>
            <w:bottom w:w="0" w:type="dxa"/>
          </w:tblCellMar>
        </w:tblPrEx>
        <w:trPr>
          <w:cantSplit/>
        </w:trPr>
        <w:tc>
          <w:tcPr>
            <w:tcW w:w="9888" w:type="dxa"/>
            <w:gridSpan w:val="2"/>
          </w:tcPr>
          <w:p w:rsidR="00BF17DB" w:rsidRDefault="00BF17DB" w:rsidP="006059DD">
            <w:pPr>
              <w:ind w:firstLine="34"/>
              <w:jc w:val="both"/>
              <w:rPr>
                <w:sz w:val="28"/>
              </w:rPr>
            </w:pPr>
            <w:r>
              <w:rPr>
                <w:sz w:val="28"/>
              </w:rPr>
              <w:t xml:space="preserve">4.7. Продовжити роботу щодо обов’язкового дотримання законодавчо встановлених державних соціальних нормативів та стандартів </w:t>
            </w:r>
            <w:r w:rsidR="001C3598">
              <w:rPr>
                <w:sz w:val="28"/>
              </w:rPr>
              <w:t>у</w:t>
            </w:r>
            <w:r>
              <w:rPr>
                <w:sz w:val="28"/>
              </w:rPr>
              <w:t xml:space="preserve"> частині надання медичної допомоги.</w:t>
            </w:r>
          </w:p>
          <w:p w:rsidR="00BF17DB" w:rsidRDefault="00BF17DB" w:rsidP="006059DD">
            <w:pPr>
              <w:ind w:firstLine="34"/>
              <w:jc w:val="both"/>
              <w:rPr>
                <w:sz w:val="28"/>
              </w:rPr>
            </w:pPr>
          </w:p>
        </w:tc>
      </w:tr>
      <w:tr w:rsidR="00BF17DB">
        <w:tblPrEx>
          <w:tblCellMar>
            <w:top w:w="0" w:type="dxa"/>
            <w:bottom w:w="0" w:type="dxa"/>
          </w:tblCellMar>
        </w:tblPrEx>
        <w:tc>
          <w:tcPr>
            <w:tcW w:w="2410" w:type="dxa"/>
          </w:tcPr>
          <w:p w:rsidR="00BF17DB" w:rsidRDefault="00BF17DB" w:rsidP="00E54F03">
            <w:pPr>
              <w:jc w:val="both"/>
              <w:rPr>
                <w:sz w:val="28"/>
              </w:rPr>
            </w:pPr>
            <w:r>
              <w:rPr>
                <w:sz w:val="28"/>
              </w:rPr>
              <w:t>Протягом  2011 – 2015 років</w:t>
            </w:r>
            <w:r w:rsidR="001C3598">
              <w:rPr>
                <w:sz w:val="28"/>
              </w:rPr>
              <w:t>.</w:t>
            </w:r>
          </w:p>
        </w:tc>
        <w:tc>
          <w:tcPr>
            <w:tcW w:w="7478" w:type="dxa"/>
          </w:tcPr>
          <w:p w:rsidR="00BF17DB" w:rsidRDefault="00BF17DB" w:rsidP="001C3598">
            <w:pPr>
              <w:jc w:val="both"/>
              <w:rPr>
                <w:sz w:val="28"/>
              </w:rPr>
            </w:pPr>
            <w:r>
              <w:rPr>
                <w:sz w:val="28"/>
              </w:rPr>
              <w:t>Головне управління охорони здоров’я облдержад</w:t>
            </w:r>
            <w:r w:rsidR="0018606B">
              <w:rPr>
                <w:sz w:val="28"/>
              </w:rPr>
              <w:t>-</w:t>
            </w:r>
            <w:r>
              <w:rPr>
                <w:sz w:val="28"/>
              </w:rPr>
              <w:t>міністрації, райдержадміністрації, міськвиконкоми</w:t>
            </w:r>
            <w:r w:rsidR="001C3598">
              <w:rPr>
                <w:sz w:val="28"/>
              </w:rPr>
              <w:t>.</w:t>
            </w:r>
          </w:p>
          <w:p w:rsidR="00BF17DB" w:rsidRDefault="00BF17DB" w:rsidP="001C3598">
            <w:pPr>
              <w:jc w:val="both"/>
              <w:rPr>
                <w:sz w:val="28"/>
              </w:rPr>
            </w:pPr>
          </w:p>
        </w:tc>
      </w:tr>
      <w:tr w:rsidR="00BF17DB">
        <w:tblPrEx>
          <w:tblCellMar>
            <w:top w:w="0" w:type="dxa"/>
            <w:bottom w:w="0" w:type="dxa"/>
          </w:tblCellMar>
        </w:tblPrEx>
        <w:tc>
          <w:tcPr>
            <w:tcW w:w="9888" w:type="dxa"/>
            <w:gridSpan w:val="2"/>
          </w:tcPr>
          <w:p w:rsidR="00BF17DB" w:rsidRDefault="00BF17DB" w:rsidP="0018606B">
            <w:pPr>
              <w:jc w:val="both"/>
              <w:rPr>
                <w:sz w:val="28"/>
              </w:rPr>
            </w:pPr>
            <w:r>
              <w:rPr>
                <w:sz w:val="28"/>
              </w:rPr>
              <w:t>4.8. Посилити держаний контроль за якістю медичних послуг, лікарських засобів і виробів медичного призначення, їх ціноутворення</w:t>
            </w:r>
            <w:r w:rsidR="0018606B">
              <w:rPr>
                <w:sz w:val="28"/>
              </w:rPr>
              <w:t>.</w:t>
            </w:r>
          </w:p>
          <w:p w:rsidR="00BF17DB" w:rsidRDefault="00BF17DB" w:rsidP="0018606B">
            <w:pPr>
              <w:jc w:val="both"/>
              <w:rPr>
                <w:sz w:val="28"/>
              </w:rPr>
            </w:pPr>
          </w:p>
        </w:tc>
      </w:tr>
      <w:tr w:rsidR="00BF17DB">
        <w:tblPrEx>
          <w:tblCellMar>
            <w:top w:w="0" w:type="dxa"/>
            <w:bottom w:w="0" w:type="dxa"/>
          </w:tblCellMar>
        </w:tblPrEx>
        <w:tc>
          <w:tcPr>
            <w:tcW w:w="2410" w:type="dxa"/>
          </w:tcPr>
          <w:p w:rsidR="00BF17DB" w:rsidRDefault="00BF17DB" w:rsidP="00E54F03">
            <w:pPr>
              <w:jc w:val="both"/>
              <w:rPr>
                <w:sz w:val="28"/>
              </w:rPr>
            </w:pPr>
            <w:r>
              <w:rPr>
                <w:sz w:val="28"/>
              </w:rPr>
              <w:t>Протягом 2011 – 2015 років</w:t>
            </w:r>
            <w:r w:rsidR="0018606B">
              <w:rPr>
                <w:sz w:val="28"/>
              </w:rPr>
              <w:t>.</w:t>
            </w:r>
          </w:p>
        </w:tc>
        <w:tc>
          <w:tcPr>
            <w:tcW w:w="7478" w:type="dxa"/>
          </w:tcPr>
          <w:p w:rsidR="00BF17DB" w:rsidRDefault="00BF17DB" w:rsidP="0018606B">
            <w:pPr>
              <w:jc w:val="both"/>
              <w:rPr>
                <w:sz w:val="28"/>
              </w:rPr>
            </w:pPr>
            <w:r>
              <w:rPr>
                <w:sz w:val="28"/>
              </w:rPr>
              <w:t>Головне управління охорони здоров’я облдержадміністрації спільно з Державною інспекцією з контролю якості лікарських засобів в Полтавській області</w:t>
            </w:r>
            <w:r w:rsidR="0018606B">
              <w:rPr>
                <w:sz w:val="28"/>
              </w:rPr>
              <w:t>.</w:t>
            </w:r>
          </w:p>
          <w:p w:rsidR="00BF17DB" w:rsidRDefault="00BF17DB" w:rsidP="0018606B">
            <w:pPr>
              <w:jc w:val="both"/>
              <w:rPr>
                <w:sz w:val="28"/>
              </w:rPr>
            </w:pPr>
          </w:p>
        </w:tc>
      </w:tr>
      <w:tr w:rsidR="00BF17DB">
        <w:tblPrEx>
          <w:tblCellMar>
            <w:top w:w="0" w:type="dxa"/>
            <w:bottom w:w="0" w:type="dxa"/>
          </w:tblCellMar>
        </w:tblPrEx>
        <w:tc>
          <w:tcPr>
            <w:tcW w:w="9888" w:type="dxa"/>
            <w:gridSpan w:val="2"/>
          </w:tcPr>
          <w:p w:rsidR="00BF17DB" w:rsidRDefault="00BF17DB" w:rsidP="0018606B">
            <w:pPr>
              <w:jc w:val="both"/>
              <w:rPr>
                <w:sz w:val="28"/>
              </w:rPr>
            </w:pPr>
            <w:r>
              <w:rPr>
                <w:sz w:val="28"/>
              </w:rPr>
              <w:t>4.9. Проводити роботу серед населення з пропаганди здорового способу життя</w:t>
            </w:r>
            <w:r w:rsidR="0018606B">
              <w:rPr>
                <w:sz w:val="28"/>
              </w:rPr>
              <w:t>.</w:t>
            </w:r>
          </w:p>
          <w:p w:rsidR="00BF17DB" w:rsidRDefault="00BF17DB" w:rsidP="0018606B">
            <w:pPr>
              <w:jc w:val="both"/>
              <w:rPr>
                <w:sz w:val="28"/>
              </w:rPr>
            </w:pPr>
          </w:p>
        </w:tc>
      </w:tr>
      <w:tr w:rsidR="00BF17DB">
        <w:tblPrEx>
          <w:tblCellMar>
            <w:top w:w="0" w:type="dxa"/>
            <w:bottom w:w="0" w:type="dxa"/>
          </w:tblCellMar>
        </w:tblPrEx>
        <w:tc>
          <w:tcPr>
            <w:tcW w:w="2410" w:type="dxa"/>
          </w:tcPr>
          <w:p w:rsidR="00BF17DB" w:rsidRDefault="00BF17DB" w:rsidP="00E54F03">
            <w:pPr>
              <w:jc w:val="both"/>
              <w:rPr>
                <w:sz w:val="28"/>
              </w:rPr>
            </w:pPr>
            <w:r>
              <w:rPr>
                <w:sz w:val="28"/>
              </w:rPr>
              <w:t>Протягом 2011 – 2015 років</w:t>
            </w:r>
            <w:r w:rsidR="0018606B">
              <w:rPr>
                <w:sz w:val="28"/>
              </w:rPr>
              <w:t>.</w:t>
            </w:r>
          </w:p>
        </w:tc>
        <w:tc>
          <w:tcPr>
            <w:tcW w:w="7478" w:type="dxa"/>
          </w:tcPr>
          <w:p w:rsidR="00BF17DB" w:rsidRDefault="00BF17DB" w:rsidP="0018606B">
            <w:pPr>
              <w:jc w:val="both"/>
              <w:rPr>
                <w:sz w:val="28"/>
              </w:rPr>
            </w:pPr>
            <w:r>
              <w:rPr>
                <w:sz w:val="28"/>
              </w:rPr>
              <w:t>Головне управління охорони здоров’я облдержад</w:t>
            </w:r>
            <w:r w:rsidR="0018606B">
              <w:rPr>
                <w:sz w:val="28"/>
              </w:rPr>
              <w:t>-</w:t>
            </w:r>
            <w:r>
              <w:rPr>
                <w:sz w:val="28"/>
              </w:rPr>
              <w:t>міністрації, Головне управління інформаційної та внутрішньої політики облдержадміністрації,  райдерж</w:t>
            </w:r>
            <w:r w:rsidR="0018606B">
              <w:rPr>
                <w:sz w:val="28"/>
              </w:rPr>
              <w:t>-</w:t>
            </w:r>
            <w:r>
              <w:rPr>
                <w:sz w:val="28"/>
              </w:rPr>
              <w:t>адміністрації, міськвиконкоми</w:t>
            </w:r>
            <w:r w:rsidR="0018606B">
              <w:rPr>
                <w:sz w:val="28"/>
              </w:rPr>
              <w:t>.</w:t>
            </w:r>
          </w:p>
          <w:p w:rsidR="00BF17DB" w:rsidRDefault="00BF17DB" w:rsidP="0018606B">
            <w:pPr>
              <w:jc w:val="both"/>
              <w:rPr>
                <w:sz w:val="28"/>
              </w:rPr>
            </w:pPr>
          </w:p>
        </w:tc>
      </w:tr>
      <w:tr w:rsidR="00BF17DB">
        <w:tblPrEx>
          <w:tblCellMar>
            <w:top w:w="0" w:type="dxa"/>
            <w:bottom w:w="0" w:type="dxa"/>
          </w:tblCellMar>
        </w:tblPrEx>
        <w:tc>
          <w:tcPr>
            <w:tcW w:w="9888" w:type="dxa"/>
            <w:gridSpan w:val="2"/>
          </w:tcPr>
          <w:p w:rsidR="00BF17DB" w:rsidRDefault="00BF17DB" w:rsidP="00AF4AD9">
            <w:pPr>
              <w:jc w:val="both"/>
              <w:rPr>
                <w:sz w:val="28"/>
              </w:rPr>
            </w:pPr>
            <w:r>
              <w:rPr>
                <w:sz w:val="28"/>
              </w:rPr>
              <w:t xml:space="preserve">4.10. </w:t>
            </w:r>
            <w:r w:rsidR="00AF4AD9">
              <w:rPr>
                <w:sz w:val="28"/>
              </w:rPr>
              <w:t>У</w:t>
            </w:r>
            <w:r>
              <w:rPr>
                <w:sz w:val="28"/>
              </w:rPr>
              <w:t>живати заход</w:t>
            </w:r>
            <w:r w:rsidR="00AF4AD9">
              <w:rPr>
                <w:sz w:val="28"/>
              </w:rPr>
              <w:t>ів</w:t>
            </w:r>
            <w:r>
              <w:rPr>
                <w:sz w:val="28"/>
              </w:rPr>
              <w:t>, спрямован</w:t>
            </w:r>
            <w:r w:rsidR="00AF4AD9">
              <w:rPr>
                <w:sz w:val="28"/>
              </w:rPr>
              <w:t>их</w:t>
            </w:r>
            <w:r>
              <w:rPr>
                <w:sz w:val="28"/>
              </w:rPr>
              <w:t xml:space="preserve"> на поліпшення стану здоров’я матері та дитини</w:t>
            </w:r>
            <w:r w:rsidR="00AF4AD9">
              <w:rPr>
                <w:sz w:val="28"/>
              </w:rPr>
              <w:t>.</w:t>
            </w:r>
          </w:p>
          <w:p w:rsidR="00BF17DB" w:rsidRDefault="00BF17DB" w:rsidP="00AF4AD9">
            <w:pPr>
              <w:jc w:val="both"/>
              <w:rPr>
                <w:sz w:val="28"/>
              </w:rPr>
            </w:pPr>
          </w:p>
        </w:tc>
      </w:tr>
      <w:tr w:rsidR="00BF17DB">
        <w:tblPrEx>
          <w:tblCellMar>
            <w:top w:w="0" w:type="dxa"/>
            <w:bottom w:w="0" w:type="dxa"/>
          </w:tblCellMar>
        </w:tblPrEx>
        <w:tc>
          <w:tcPr>
            <w:tcW w:w="2410" w:type="dxa"/>
          </w:tcPr>
          <w:p w:rsidR="00BF17DB" w:rsidRDefault="00BF17DB" w:rsidP="00E54F03">
            <w:pPr>
              <w:jc w:val="both"/>
              <w:rPr>
                <w:sz w:val="28"/>
              </w:rPr>
            </w:pPr>
            <w:r>
              <w:rPr>
                <w:sz w:val="28"/>
              </w:rPr>
              <w:t>Протягом 2011 – 2015 років</w:t>
            </w:r>
            <w:r w:rsidR="00AF4AD9">
              <w:rPr>
                <w:sz w:val="28"/>
              </w:rPr>
              <w:t>.</w:t>
            </w:r>
          </w:p>
        </w:tc>
        <w:tc>
          <w:tcPr>
            <w:tcW w:w="7478" w:type="dxa"/>
          </w:tcPr>
          <w:p w:rsidR="00BF17DB" w:rsidRPr="00D73FA1" w:rsidRDefault="00BF17DB" w:rsidP="00AF4AD9">
            <w:pPr>
              <w:jc w:val="both"/>
              <w:rPr>
                <w:rFonts w:eastAsia="Arial Unicode MS"/>
                <w:sz w:val="28"/>
                <w:lang w:eastAsia="ko-KR"/>
              </w:rPr>
            </w:pPr>
            <w:r>
              <w:rPr>
                <w:sz w:val="28"/>
              </w:rPr>
              <w:t>Головне управління охорони здоров</w:t>
            </w:r>
            <w:r>
              <w:rPr>
                <w:rFonts w:eastAsia="Arial Unicode MS"/>
                <w:sz w:val="28"/>
                <w:lang w:eastAsia="ko-KR"/>
              </w:rPr>
              <w:t>’я облдержад</w:t>
            </w:r>
            <w:r w:rsidR="00AF4AD9">
              <w:rPr>
                <w:rFonts w:eastAsia="Arial Unicode MS"/>
                <w:sz w:val="28"/>
                <w:lang w:eastAsia="ko-KR"/>
              </w:rPr>
              <w:t>-</w:t>
            </w:r>
            <w:r>
              <w:rPr>
                <w:rFonts w:eastAsia="Arial Unicode MS"/>
                <w:sz w:val="28"/>
                <w:lang w:eastAsia="ko-KR"/>
              </w:rPr>
              <w:t xml:space="preserve">міністрації, </w:t>
            </w:r>
            <w:r>
              <w:rPr>
                <w:sz w:val="28"/>
              </w:rPr>
              <w:t>Головне управління праці та соціального захисту населення облдержадміністрації,  райдерж</w:t>
            </w:r>
            <w:r w:rsidR="00AF4AD9">
              <w:rPr>
                <w:sz w:val="28"/>
              </w:rPr>
              <w:t>-</w:t>
            </w:r>
            <w:r>
              <w:rPr>
                <w:sz w:val="28"/>
              </w:rPr>
              <w:t>адміністрації, міськвиконкоми</w:t>
            </w:r>
            <w:r w:rsidR="00AF4AD9">
              <w:rPr>
                <w:sz w:val="28"/>
              </w:rPr>
              <w:t>.</w:t>
            </w:r>
          </w:p>
          <w:p w:rsidR="00BF17DB" w:rsidRDefault="00BF17DB" w:rsidP="00AF4AD9">
            <w:pPr>
              <w:jc w:val="both"/>
              <w:rPr>
                <w:sz w:val="28"/>
              </w:rPr>
            </w:pPr>
          </w:p>
        </w:tc>
      </w:tr>
      <w:tr w:rsidR="00BF17DB">
        <w:tblPrEx>
          <w:tblCellMar>
            <w:top w:w="0" w:type="dxa"/>
            <w:bottom w:w="0" w:type="dxa"/>
          </w:tblCellMar>
        </w:tblPrEx>
        <w:tc>
          <w:tcPr>
            <w:tcW w:w="9888" w:type="dxa"/>
            <w:gridSpan w:val="2"/>
          </w:tcPr>
          <w:p w:rsidR="00BF17DB" w:rsidRDefault="00BF17DB" w:rsidP="00467389">
            <w:pPr>
              <w:jc w:val="both"/>
              <w:rPr>
                <w:sz w:val="28"/>
              </w:rPr>
            </w:pPr>
            <w:r>
              <w:rPr>
                <w:sz w:val="28"/>
              </w:rPr>
              <w:t xml:space="preserve">4.11. Забезпечити оздоровлення та відпочинок дітей соціально-вразливих категорій </w:t>
            </w:r>
            <w:r w:rsidR="00467389">
              <w:rPr>
                <w:sz w:val="28"/>
              </w:rPr>
              <w:t xml:space="preserve">  у</w:t>
            </w:r>
            <w:r>
              <w:rPr>
                <w:sz w:val="28"/>
              </w:rPr>
              <w:t xml:space="preserve">літку </w:t>
            </w:r>
            <w:r w:rsidR="00467389">
              <w:rPr>
                <w:sz w:val="28"/>
              </w:rPr>
              <w:t>що</w:t>
            </w:r>
            <w:r>
              <w:rPr>
                <w:sz w:val="28"/>
              </w:rPr>
              <w:t>року</w:t>
            </w:r>
            <w:r w:rsidR="00467389">
              <w:rPr>
                <w:sz w:val="28"/>
              </w:rPr>
              <w:t>.</w:t>
            </w:r>
          </w:p>
          <w:p w:rsidR="00BF17DB" w:rsidRDefault="00BF17DB" w:rsidP="00467389">
            <w:pPr>
              <w:jc w:val="both"/>
              <w:rPr>
                <w:sz w:val="28"/>
              </w:rPr>
            </w:pPr>
            <w:r>
              <w:rPr>
                <w:sz w:val="28"/>
              </w:rPr>
              <w:t xml:space="preserve"> </w:t>
            </w:r>
          </w:p>
        </w:tc>
      </w:tr>
      <w:tr w:rsidR="00BF17DB">
        <w:tblPrEx>
          <w:tblCellMar>
            <w:top w:w="0" w:type="dxa"/>
            <w:bottom w:w="0" w:type="dxa"/>
          </w:tblCellMar>
        </w:tblPrEx>
        <w:tc>
          <w:tcPr>
            <w:tcW w:w="2410" w:type="dxa"/>
          </w:tcPr>
          <w:p w:rsidR="00BF17DB" w:rsidRDefault="00BF17DB" w:rsidP="006040C2">
            <w:pPr>
              <w:jc w:val="both"/>
              <w:rPr>
                <w:sz w:val="28"/>
              </w:rPr>
            </w:pPr>
            <w:r>
              <w:rPr>
                <w:sz w:val="28"/>
              </w:rPr>
              <w:t>Протягом 2012 – 2015 років</w:t>
            </w:r>
            <w:r w:rsidR="00D31090">
              <w:rPr>
                <w:sz w:val="28"/>
              </w:rPr>
              <w:t>.</w:t>
            </w:r>
          </w:p>
        </w:tc>
        <w:tc>
          <w:tcPr>
            <w:tcW w:w="7478" w:type="dxa"/>
          </w:tcPr>
          <w:p w:rsidR="00BF17DB" w:rsidRDefault="00BF17DB" w:rsidP="00D31090">
            <w:pPr>
              <w:jc w:val="both"/>
              <w:rPr>
                <w:sz w:val="28"/>
              </w:rPr>
            </w:pPr>
            <w:r>
              <w:rPr>
                <w:sz w:val="28"/>
              </w:rPr>
              <w:t>Відділ у справах сім’ї та молоді облдержадміністрації, Головне управління освіти і науки облдержадміністрації</w:t>
            </w:r>
            <w:r w:rsidR="00D31090">
              <w:rPr>
                <w:sz w:val="28"/>
              </w:rPr>
              <w:t>.</w:t>
            </w:r>
          </w:p>
          <w:p w:rsidR="00BF17DB" w:rsidRDefault="00BF17DB" w:rsidP="00D31090">
            <w:pPr>
              <w:jc w:val="both"/>
              <w:rPr>
                <w:sz w:val="28"/>
              </w:rPr>
            </w:pPr>
          </w:p>
        </w:tc>
      </w:tr>
      <w:tr w:rsidR="00BF17DB">
        <w:tblPrEx>
          <w:tblCellMar>
            <w:top w:w="0" w:type="dxa"/>
            <w:bottom w:w="0" w:type="dxa"/>
          </w:tblCellMar>
        </w:tblPrEx>
        <w:tc>
          <w:tcPr>
            <w:tcW w:w="9888" w:type="dxa"/>
            <w:gridSpan w:val="2"/>
          </w:tcPr>
          <w:p w:rsidR="00BF17DB" w:rsidRDefault="00BF17DB" w:rsidP="00D31090">
            <w:pPr>
              <w:jc w:val="both"/>
              <w:rPr>
                <w:sz w:val="28"/>
                <w:lang w:eastAsia="ko-KR"/>
              </w:rPr>
            </w:pPr>
            <w:r>
              <w:rPr>
                <w:sz w:val="28"/>
              </w:rPr>
              <w:t xml:space="preserve">4.12. Проводити соціально-мистецькі заходи, спрямовані на піднесення ролі сім’ї, жінки та </w:t>
            </w:r>
            <w:r w:rsidR="00D31090">
              <w:rPr>
                <w:sz w:val="28"/>
              </w:rPr>
              <w:t>утвердження гендерної культури в</w:t>
            </w:r>
            <w:r>
              <w:rPr>
                <w:sz w:val="28"/>
              </w:rPr>
              <w:t xml:space="preserve"> суспільстві, зокрема з нагоди відзначення Днів сім</w:t>
            </w:r>
            <w:r>
              <w:rPr>
                <w:sz w:val="28"/>
                <w:lang w:eastAsia="ko-KR"/>
              </w:rPr>
              <w:t>’ї, Матері, Батька та Міжнародного жіночого дня</w:t>
            </w:r>
            <w:r w:rsidR="00D31090">
              <w:rPr>
                <w:sz w:val="28"/>
                <w:lang w:eastAsia="ko-KR"/>
              </w:rPr>
              <w:t>,</w:t>
            </w:r>
            <w:r>
              <w:rPr>
                <w:sz w:val="28"/>
                <w:lang w:eastAsia="ko-KR"/>
              </w:rPr>
              <w:t xml:space="preserve">  та заходи етнографічного спрямування щодо популяризації народних сімейних обрядів</w:t>
            </w:r>
            <w:r w:rsidR="00D31090">
              <w:rPr>
                <w:sz w:val="28"/>
                <w:lang w:eastAsia="ko-KR"/>
              </w:rPr>
              <w:t>.</w:t>
            </w:r>
          </w:p>
          <w:p w:rsidR="00BF17DB" w:rsidRDefault="00BF17DB" w:rsidP="00D31090">
            <w:pPr>
              <w:jc w:val="both"/>
              <w:rPr>
                <w:sz w:val="28"/>
                <w:lang w:eastAsia="ko-KR"/>
              </w:rPr>
            </w:pPr>
            <w:r>
              <w:rPr>
                <w:sz w:val="28"/>
                <w:lang w:eastAsia="ko-KR"/>
              </w:rPr>
              <w:t xml:space="preserve"> </w:t>
            </w:r>
          </w:p>
        </w:tc>
      </w:tr>
      <w:tr w:rsidR="00BF17DB">
        <w:tblPrEx>
          <w:tblCellMar>
            <w:top w:w="0" w:type="dxa"/>
            <w:bottom w:w="0" w:type="dxa"/>
          </w:tblCellMar>
        </w:tblPrEx>
        <w:tc>
          <w:tcPr>
            <w:tcW w:w="2410" w:type="dxa"/>
          </w:tcPr>
          <w:p w:rsidR="00BF17DB" w:rsidRDefault="00BF17DB" w:rsidP="00EA78A8">
            <w:pPr>
              <w:jc w:val="both"/>
              <w:rPr>
                <w:sz w:val="28"/>
              </w:rPr>
            </w:pPr>
            <w:r>
              <w:rPr>
                <w:sz w:val="28"/>
              </w:rPr>
              <w:t>Протягом 2011 – 2015 років</w:t>
            </w:r>
            <w:r w:rsidR="009A6C84">
              <w:rPr>
                <w:sz w:val="28"/>
              </w:rPr>
              <w:t>.</w:t>
            </w:r>
          </w:p>
        </w:tc>
        <w:tc>
          <w:tcPr>
            <w:tcW w:w="7478" w:type="dxa"/>
          </w:tcPr>
          <w:p w:rsidR="00BF17DB" w:rsidRDefault="00BF17DB" w:rsidP="009A6C84">
            <w:pPr>
              <w:jc w:val="both"/>
              <w:rPr>
                <w:sz w:val="28"/>
              </w:rPr>
            </w:pPr>
            <w:r>
              <w:rPr>
                <w:sz w:val="28"/>
              </w:rPr>
              <w:t>Відділ у справах сім’ї та молоді облдержадміністрації, управління культури облдержадміністрації</w:t>
            </w:r>
            <w:r w:rsidR="009A6C84">
              <w:rPr>
                <w:sz w:val="28"/>
              </w:rPr>
              <w:t>.</w:t>
            </w:r>
          </w:p>
          <w:p w:rsidR="00BF17DB" w:rsidRDefault="00BF17DB" w:rsidP="009A6C84">
            <w:pPr>
              <w:jc w:val="both"/>
              <w:rPr>
                <w:sz w:val="28"/>
              </w:rPr>
            </w:pPr>
          </w:p>
        </w:tc>
      </w:tr>
      <w:tr w:rsidR="00BF17DB">
        <w:tblPrEx>
          <w:tblCellMar>
            <w:top w:w="0" w:type="dxa"/>
            <w:bottom w:w="0" w:type="dxa"/>
          </w:tblCellMar>
        </w:tblPrEx>
        <w:tc>
          <w:tcPr>
            <w:tcW w:w="9888" w:type="dxa"/>
            <w:gridSpan w:val="2"/>
          </w:tcPr>
          <w:p w:rsidR="00BF17DB" w:rsidRDefault="00BF17DB" w:rsidP="009A6C84">
            <w:pPr>
              <w:jc w:val="both"/>
              <w:rPr>
                <w:sz w:val="28"/>
              </w:rPr>
            </w:pPr>
            <w:r>
              <w:rPr>
                <w:sz w:val="28"/>
              </w:rPr>
              <w:t xml:space="preserve">4.13. Здійснювати патронат над багатодітними сім’ями, </w:t>
            </w:r>
            <w:r w:rsidR="009A6C84">
              <w:rPr>
                <w:sz w:val="28"/>
              </w:rPr>
              <w:t>у</w:t>
            </w:r>
            <w:r>
              <w:rPr>
                <w:sz w:val="28"/>
              </w:rPr>
              <w:t xml:space="preserve"> яких виховується 5 і більше дітей, </w:t>
            </w:r>
            <w:r w:rsidR="009A6C84">
              <w:rPr>
                <w:sz w:val="28"/>
              </w:rPr>
              <w:t>і</w:t>
            </w:r>
            <w:r>
              <w:rPr>
                <w:sz w:val="28"/>
              </w:rPr>
              <w:t xml:space="preserve">з метою надання допомоги цим сім’ям. Забезпечити проведення благодійних акцій „Великодній кошик”, „Школярик”, „Дарунки Святого Миколая” та інших </w:t>
            </w:r>
            <w:r w:rsidR="009A6C84">
              <w:rPr>
                <w:sz w:val="28"/>
              </w:rPr>
              <w:t>і</w:t>
            </w:r>
            <w:r>
              <w:rPr>
                <w:sz w:val="28"/>
              </w:rPr>
              <w:t>з залученням підприємств, установ, організацій різних форм власності</w:t>
            </w:r>
            <w:r w:rsidR="009A6C84">
              <w:rPr>
                <w:sz w:val="28"/>
              </w:rPr>
              <w:t>.</w:t>
            </w:r>
          </w:p>
          <w:p w:rsidR="00BF17DB" w:rsidRDefault="00BF17DB" w:rsidP="009A6C84">
            <w:pPr>
              <w:jc w:val="both"/>
              <w:rPr>
                <w:sz w:val="28"/>
              </w:rPr>
            </w:pPr>
          </w:p>
        </w:tc>
      </w:tr>
      <w:tr w:rsidR="00BF17DB">
        <w:tblPrEx>
          <w:tblCellMar>
            <w:top w:w="0" w:type="dxa"/>
            <w:bottom w:w="0" w:type="dxa"/>
          </w:tblCellMar>
        </w:tblPrEx>
        <w:tc>
          <w:tcPr>
            <w:tcW w:w="2410" w:type="dxa"/>
          </w:tcPr>
          <w:p w:rsidR="00BF17DB" w:rsidRDefault="00BF17DB" w:rsidP="00EA78A8">
            <w:pPr>
              <w:jc w:val="both"/>
              <w:rPr>
                <w:sz w:val="28"/>
              </w:rPr>
            </w:pPr>
            <w:r>
              <w:rPr>
                <w:sz w:val="28"/>
              </w:rPr>
              <w:t>Протягом 2011 – 2015 років</w:t>
            </w:r>
            <w:r w:rsidR="009A6C84">
              <w:rPr>
                <w:sz w:val="28"/>
              </w:rPr>
              <w:t>.</w:t>
            </w:r>
          </w:p>
        </w:tc>
        <w:tc>
          <w:tcPr>
            <w:tcW w:w="7478" w:type="dxa"/>
          </w:tcPr>
          <w:p w:rsidR="00BF17DB" w:rsidRDefault="00BF17DB" w:rsidP="009A6C84">
            <w:pPr>
              <w:jc w:val="both"/>
              <w:rPr>
                <w:sz w:val="28"/>
              </w:rPr>
            </w:pPr>
            <w:r>
              <w:rPr>
                <w:sz w:val="28"/>
              </w:rPr>
              <w:t>Відділ у справах сім’ї та молоді облдержадміністрації, Головне управління освіти і науки облдержадміністрації, райдержадміністрації, міськвиконкоми</w:t>
            </w:r>
            <w:r w:rsidR="009A6C84">
              <w:rPr>
                <w:sz w:val="28"/>
              </w:rPr>
              <w:t>.</w:t>
            </w:r>
          </w:p>
          <w:p w:rsidR="00BF17DB" w:rsidRDefault="00BF17DB" w:rsidP="009A6C84">
            <w:pPr>
              <w:jc w:val="both"/>
              <w:rPr>
                <w:sz w:val="28"/>
              </w:rPr>
            </w:pPr>
          </w:p>
        </w:tc>
      </w:tr>
      <w:tr w:rsidR="00BF17DB">
        <w:tblPrEx>
          <w:tblCellMar>
            <w:top w:w="0" w:type="dxa"/>
            <w:bottom w:w="0" w:type="dxa"/>
          </w:tblCellMar>
        </w:tblPrEx>
        <w:tc>
          <w:tcPr>
            <w:tcW w:w="9888" w:type="dxa"/>
            <w:gridSpan w:val="2"/>
          </w:tcPr>
          <w:p w:rsidR="00BF17DB" w:rsidRDefault="00BF17DB" w:rsidP="009A6C84">
            <w:pPr>
              <w:jc w:val="both"/>
              <w:rPr>
                <w:sz w:val="28"/>
              </w:rPr>
            </w:pPr>
            <w:r>
              <w:rPr>
                <w:sz w:val="28"/>
              </w:rPr>
              <w:t xml:space="preserve"> 4.14. Розробити та затвердити в установленому порядку обласну,  міські та районні  програми подолання та запобігання бідності на період до кінця</w:t>
            </w:r>
            <w:r w:rsidR="009A6C84">
              <w:rPr>
                <w:sz w:val="28"/>
              </w:rPr>
              <w:t xml:space="preserve">       </w:t>
            </w:r>
            <w:r>
              <w:rPr>
                <w:sz w:val="28"/>
              </w:rPr>
              <w:t xml:space="preserve"> 2015 року.</w:t>
            </w:r>
          </w:p>
          <w:p w:rsidR="00BF17DB" w:rsidRDefault="00BF17DB" w:rsidP="009A6C84">
            <w:pPr>
              <w:jc w:val="both"/>
              <w:rPr>
                <w:sz w:val="28"/>
              </w:rPr>
            </w:pPr>
          </w:p>
        </w:tc>
      </w:tr>
      <w:tr w:rsidR="00BF17DB">
        <w:tblPrEx>
          <w:tblCellMar>
            <w:top w:w="0" w:type="dxa"/>
            <w:bottom w:w="0" w:type="dxa"/>
          </w:tblCellMar>
        </w:tblPrEx>
        <w:tc>
          <w:tcPr>
            <w:tcW w:w="2410" w:type="dxa"/>
          </w:tcPr>
          <w:p w:rsidR="00BF17DB" w:rsidRDefault="009A6C84" w:rsidP="00E54F03">
            <w:pPr>
              <w:jc w:val="both"/>
              <w:rPr>
                <w:sz w:val="28"/>
              </w:rPr>
            </w:pPr>
            <w:r>
              <w:rPr>
                <w:sz w:val="28"/>
              </w:rPr>
              <w:t>Д</w:t>
            </w:r>
            <w:r w:rsidR="00BF17DB">
              <w:rPr>
                <w:sz w:val="28"/>
              </w:rPr>
              <w:t>о 01.12.2012</w:t>
            </w:r>
            <w:r>
              <w:rPr>
                <w:sz w:val="28"/>
              </w:rPr>
              <w:t>.</w:t>
            </w:r>
          </w:p>
        </w:tc>
        <w:tc>
          <w:tcPr>
            <w:tcW w:w="7478" w:type="dxa"/>
          </w:tcPr>
          <w:p w:rsidR="00BF17DB" w:rsidRDefault="00BF17DB" w:rsidP="009A6C84">
            <w:pPr>
              <w:jc w:val="both"/>
              <w:rPr>
                <w:sz w:val="28"/>
              </w:rPr>
            </w:pPr>
            <w:r>
              <w:rPr>
                <w:sz w:val="28"/>
              </w:rPr>
              <w:t>Головне управління праці та соціального захисту населення облдержадміністрації, райдержадміністрації, міськвикон</w:t>
            </w:r>
            <w:r w:rsidR="009A6C84">
              <w:rPr>
                <w:sz w:val="28"/>
              </w:rPr>
              <w:t>-</w:t>
            </w:r>
            <w:r>
              <w:rPr>
                <w:sz w:val="28"/>
              </w:rPr>
              <w:t>коми</w:t>
            </w:r>
            <w:r w:rsidR="009A6C84">
              <w:rPr>
                <w:sz w:val="28"/>
              </w:rPr>
              <w:t>.</w:t>
            </w:r>
          </w:p>
        </w:tc>
      </w:tr>
    </w:tbl>
    <w:p w:rsidR="008F6194" w:rsidRDefault="008F6194">
      <w:pPr>
        <w:jc w:val="both"/>
        <w:rPr>
          <w:sz w:val="28"/>
        </w:rPr>
      </w:pPr>
    </w:p>
    <w:p w:rsidR="00FB7810" w:rsidRDefault="00FB7810">
      <w:pPr>
        <w:jc w:val="both"/>
        <w:rPr>
          <w:sz w:val="28"/>
        </w:rPr>
      </w:pPr>
    </w:p>
    <w:p w:rsidR="003E06A3" w:rsidRDefault="003E06A3">
      <w:pPr>
        <w:jc w:val="both"/>
        <w:rPr>
          <w:sz w:val="28"/>
        </w:rPr>
      </w:pPr>
    </w:p>
    <w:p w:rsidR="003E06A3" w:rsidRDefault="003E06A3">
      <w:pPr>
        <w:jc w:val="both"/>
        <w:rPr>
          <w:sz w:val="28"/>
        </w:rPr>
      </w:pPr>
    </w:p>
    <w:p w:rsidR="00B83C5C" w:rsidRDefault="00B83C5C">
      <w:pPr>
        <w:jc w:val="both"/>
        <w:rPr>
          <w:sz w:val="28"/>
        </w:rPr>
      </w:pPr>
    </w:p>
    <w:p w:rsidR="00046BDA" w:rsidRDefault="008F6194">
      <w:pPr>
        <w:jc w:val="both"/>
        <w:rPr>
          <w:sz w:val="28"/>
        </w:rPr>
      </w:pPr>
      <w:r>
        <w:rPr>
          <w:sz w:val="28"/>
        </w:rPr>
        <w:t>Заступник</w:t>
      </w:r>
      <w:r w:rsidR="00393079">
        <w:rPr>
          <w:sz w:val="28"/>
        </w:rPr>
        <w:t xml:space="preserve"> </w:t>
      </w:r>
      <w:r w:rsidR="002B4CD2">
        <w:rPr>
          <w:sz w:val="28"/>
        </w:rPr>
        <w:t>голови</w:t>
      </w:r>
      <w:r w:rsidR="005B624D">
        <w:rPr>
          <w:sz w:val="28"/>
        </w:rPr>
        <w:t xml:space="preserve"> </w:t>
      </w:r>
      <w:r w:rsidR="002B4CD2">
        <w:rPr>
          <w:sz w:val="28"/>
        </w:rPr>
        <w:t>-</w:t>
      </w:r>
      <w:r w:rsidR="002B4CD2" w:rsidRPr="002B4CD2">
        <w:rPr>
          <w:sz w:val="28"/>
        </w:rPr>
        <w:t xml:space="preserve"> </w:t>
      </w:r>
      <w:r w:rsidR="002B4CD2">
        <w:rPr>
          <w:sz w:val="28"/>
        </w:rPr>
        <w:t>керівник</w:t>
      </w:r>
    </w:p>
    <w:p w:rsidR="00393079" w:rsidRDefault="002B4CD2">
      <w:pPr>
        <w:jc w:val="both"/>
        <w:rPr>
          <w:sz w:val="28"/>
        </w:rPr>
      </w:pPr>
      <w:r>
        <w:rPr>
          <w:sz w:val="28"/>
        </w:rPr>
        <w:t>апарату облдер</w:t>
      </w:r>
      <w:r w:rsidR="00DD32E1">
        <w:rPr>
          <w:sz w:val="28"/>
        </w:rPr>
        <w:t>жадміністрації</w:t>
      </w:r>
      <w:r w:rsidR="00DD32E1">
        <w:rPr>
          <w:sz w:val="28"/>
        </w:rPr>
        <w:tab/>
      </w:r>
      <w:r w:rsidR="00DD32E1">
        <w:rPr>
          <w:sz w:val="28"/>
        </w:rPr>
        <w:tab/>
      </w:r>
      <w:r w:rsidR="00DD32E1">
        <w:rPr>
          <w:sz w:val="28"/>
        </w:rPr>
        <w:tab/>
      </w:r>
      <w:r w:rsidR="00DD32E1">
        <w:rPr>
          <w:sz w:val="28"/>
        </w:rPr>
        <w:tab/>
        <w:t xml:space="preserve">                          В.О.Пархоменко</w:t>
      </w:r>
      <w:r w:rsidR="00393079">
        <w:rPr>
          <w:sz w:val="28"/>
        </w:rPr>
        <w:t xml:space="preserve">         </w:t>
      </w:r>
    </w:p>
    <w:p w:rsidR="00393079" w:rsidRDefault="00393079">
      <w:pPr>
        <w:jc w:val="both"/>
      </w:pPr>
    </w:p>
    <w:p w:rsidR="00393079" w:rsidRDefault="00393079">
      <w:pPr>
        <w:pStyle w:val="BodyText2"/>
      </w:pPr>
      <w:r>
        <w:t xml:space="preserve"> </w:t>
      </w:r>
    </w:p>
    <w:p w:rsidR="00393079" w:rsidRDefault="00393079">
      <w:pPr>
        <w:pStyle w:val="BodyText2"/>
        <w:ind w:left="75"/>
      </w:pPr>
    </w:p>
    <w:p w:rsidR="00393079" w:rsidRDefault="00393079">
      <w:pPr>
        <w:pStyle w:val="BodyText2"/>
        <w:ind w:left="75"/>
      </w:pPr>
    </w:p>
    <w:sectPr w:rsidR="00393079" w:rsidSect="00046BDA">
      <w:headerReference w:type="even" r:id="rId7"/>
      <w:headerReference w:type="default" r:id="rId8"/>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D06" w:rsidRDefault="00963D06">
      <w:r>
        <w:separator/>
      </w:r>
    </w:p>
  </w:endnote>
  <w:endnote w:type="continuationSeparator" w:id="0">
    <w:p w:rsidR="00963D06" w:rsidRDefault="0096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D06" w:rsidRDefault="00963D06">
      <w:r>
        <w:separator/>
      </w:r>
    </w:p>
  </w:footnote>
  <w:footnote w:type="continuationSeparator" w:id="0">
    <w:p w:rsidR="00963D06" w:rsidRDefault="0096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3C7" w:rsidRDefault="000E03C7" w:rsidP="003930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03C7" w:rsidRDefault="000E0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3C7" w:rsidRDefault="000E03C7" w:rsidP="003930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E03C7" w:rsidRDefault="000E0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1C6E"/>
    <w:multiLevelType w:val="multilevel"/>
    <w:tmpl w:val="9AF06A3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63"/>
        </w:tabs>
        <w:ind w:left="1463" w:hanging="720"/>
      </w:pPr>
      <w:rPr>
        <w:rFonts w:hint="default"/>
      </w:rPr>
    </w:lvl>
    <w:lvl w:ilvl="2">
      <w:start w:val="1"/>
      <w:numFmt w:val="decimal"/>
      <w:lvlText w:val="%1.%2.%3."/>
      <w:lvlJc w:val="left"/>
      <w:pPr>
        <w:tabs>
          <w:tab w:val="num" w:pos="2206"/>
        </w:tabs>
        <w:ind w:left="2206" w:hanging="720"/>
      </w:pPr>
      <w:rPr>
        <w:rFonts w:hint="default"/>
      </w:rPr>
    </w:lvl>
    <w:lvl w:ilvl="3">
      <w:start w:val="1"/>
      <w:numFmt w:val="decimal"/>
      <w:lvlText w:val="%1.%2.%3.%4."/>
      <w:lvlJc w:val="left"/>
      <w:pPr>
        <w:tabs>
          <w:tab w:val="num" w:pos="3309"/>
        </w:tabs>
        <w:ind w:left="3309" w:hanging="1080"/>
      </w:pPr>
      <w:rPr>
        <w:rFonts w:hint="default"/>
      </w:rPr>
    </w:lvl>
    <w:lvl w:ilvl="4">
      <w:start w:val="1"/>
      <w:numFmt w:val="decimal"/>
      <w:lvlText w:val="%1.%2.%3.%4.%5."/>
      <w:lvlJc w:val="left"/>
      <w:pPr>
        <w:tabs>
          <w:tab w:val="num" w:pos="4052"/>
        </w:tabs>
        <w:ind w:left="4052" w:hanging="1080"/>
      </w:pPr>
      <w:rPr>
        <w:rFonts w:hint="default"/>
      </w:rPr>
    </w:lvl>
    <w:lvl w:ilvl="5">
      <w:start w:val="1"/>
      <w:numFmt w:val="decimal"/>
      <w:lvlText w:val="%1.%2.%3.%4.%5.%6."/>
      <w:lvlJc w:val="left"/>
      <w:pPr>
        <w:tabs>
          <w:tab w:val="num" w:pos="5155"/>
        </w:tabs>
        <w:ind w:left="5155" w:hanging="1440"/>
      </w:pPr>
      <w:rPr>
        <w:rFonts w:hint="default"/>
      </w:rPr>
    </w:lvl>
    <w:lvl w:ilvl="6">
      <w:start w:val="1"/>
      <w:numFmt w:val="decimal"/>
      <w:lvlText w:val="%1.%2.%3.%4.%5.%6.%7."/>
      <w:lvlJc w:val="left"/>
      <w:pPr>
        <w:tabs>
          <w:tab w:val="num" w:pos="6258"/>
        </w:tabs>
        <w:ind w:left="6258" w:hanging="1800"/>
      </w:pPr>
      <w:rPr>
        <w:rFonts w:hint="default"/>
      </w:rPr>
    </w:lvl>
    <w:lvl w:ilvl="7">
      <w:start w:val="1"/>
      <w:numFmt w:val="decimal"/>
      <w:lvlText w:val="%1.%2.%3.%4.%5.%6.%7.%8."/>
      <w:lvlJc w:val="left"/>
      <w:pPr>
        <w:tabs>
          <w:tab w:val="num" w:pos="7001"/>
        </w:tabs>
        <w:ind w:left="7001" w:hanging="1800"/>
      </w:pPr>
      <w:rPr>
        <w:rFonts w:hint="default"/>
      </w:rPr>
    </w:lvl>
    <w:lvl w:ilvl="8">
      <w:start w:val="1"/>
      <w:numFmt w:val="decimal"/>
      <w:lvlText w:val="%1.%2.%3.%4.%5.%6.%7.%8.%9."/>
      <w:lvlJc w:val="left"/>
      <w:pPr>
        <w:tabs>
          <w:tab w:val="num" w:pos="8104"/>
        </w:tabs>
        <w:ind w:left="8104" w:hanging="2160"/>
      </w:pPr>
      <w:rPr>
        <w:rFonts w:hint="default"/>
      </w:rPr>
    </w:lvl>
  </w:abstractNum>
  <w:abstractNum w:abstractNumId="1" w15:restartNumberingAfterBreak="0">
    <w:nsid w:val="34CA6200"/>
    <w:multiLevelType w:val="multilevel"/>
    <w:tmpl w:val="D842EE3A"/>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14942FB"/>
    <w:multiLevelType w:val="multilevel"/>
    <w:tmpl w:val="DA708BA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536"/>
        </w:tabs>
        <w:ind w:left="0" w:firstLine="743"/>
      </w:pPr>
      <w:rPr>
        <w:rFonts w:hint="default"/>
      </w:rPr>
    </w:lvl>
    <w:lvl w:ilvl="2">
      <w:start w:val="1"/>
      <w:numFmt w:val="decimal"/>
      <w:lvlText w:val="%1.%2.%3."/>
      <w:lvlJc w:val="left"/>
      <w:pPr>
        <w:tabs>
          <w:tab w:val="num" w:pos="2206"/>
        </w:tabs>
        <w:ind w:left="2206" w:hanging="720"/>
      </w:pPr>
      <w:rPr>
        <w:rFonts w:hint="default"/>
      </w:rPr>
    </w:lvl>
    <w:lvl w:ilvl="3">
      <w:start w:val="1"/>
      <w:numFmt w:val="decimal"/>
      <w:lvlText w:val="%1.%2.%3.%4."/>
      <w:lvlJc w:val="left"/>
      <w:pPr>
        <w:tabs>
          <w:tab w:val="num" w:pos="3309"/>
        </w:tabs>
        <w:ind w:left="3309" w:hanging="1080"/>
      </w:pPr>
      <w:rPr>
        <w:rFonts w:hint="default"/>
      </w:rPr>
    </w:lvl>
    <w:lvl w:ilvl="4">
      <w:start w:val="1"/>
      <w:numFmt w:val="decimal"/>
      <w:lvlText w:val="%1.%2.%3.%4.%5."/>
      <w:lvlJc w:val="left"/>
      <w:pPr>
        <w:tabs>
          <w:tab w:val="num" w:pos="4052"/>
        </w:tabs>
        <w:ind w:left="4052" w:hanging="1080"/>
      </w:pPr>
      <w:rPr>
        <w:rFonts w:hint="default"/>
      </w:rPr>
    </w:lvl>
    <w:lvl w:ilvl="5">
      <w:start w:val="1"/>
      <w:numFmt w:val="decimal"/>
      <w:lvlText w:val="%1.%2.%3.%4.%5.%6."/>
      <w:lvlJc w:val="left"/>
      <w:pPr>
        <w:tabs>
          <w:tab w:val="num" w:pos="5155"/>
        </w:tabs>
        <w:ind w:left="5155" w:hanging="1440"/>
      </w:pPr>
      <w:rPr>
        <w:rFonts w:hint="default"/>
      </w:rPr>
    </w:lvl>
    <w:lvl w:ilvl="6">
      <w:start w:val="1"/>
      <w:numFmt w:val="decimal"/>
      <w:lvlText w:val="%1.%2.%3.%4.%5.%6.%7."/>
      <w:lvlJc w:val="left"/>
      <w:pPr>
        <w:tabs>
          <w:tab w:val="num" w:pos="6258"/>
        </w:tabs>
        <w:ind w:left="6258" w:hanging="1800"/>
      </w:pPr>
      <w:rPr>
        <w:rFonts w:hint="default"/>
      </w:rPr>
    </w:lvl>
    <w:lvl w:ilvl="7">
      <w:start w:val="1"/>
      <w:numFmt w:val="decimal"/>
      <w:lvlText w:val="%1.%2.%3.%4.%5.%6.%7.%8."/>
      <w:lvlJc w:val="left"/>
      <w:pPr>
        <w:tabs>
          <w:tab w:val="num" w:pos="7001"/>
        </w:tabs>
        <w:ind w:left="7001" w:hanging="1800"/>
      </w:pPr>
      <w:rPr>
        <w:rFonts w:hint="default"/>
      </w:rPr>
    </w:lvl>
    <w:lvl w:ilvl="8">
      <w:start w:val="1"/>
      <w:numFmt w:val="decimal"/>
      <w:lvlText w:val="%1.%2.%3.%4.%5.%6.%7.%8.%9."/>
      <w:lvlJc w:val="left"/>
      <w:pPr>
        <w:tabs>
          <w:tab w:val="num" w:pos="8104"/>
        </w:tabs>
        <w:ind w:left="8104" w:hanging="2160"/>
      </w:pPr>
      <w:rPr>
        <w:rFonts w:hint="default"/>
      </w:rPr>
    </w:lvl>
  </w:abstractNum>
  <w:abstractNum w:abstractNumId="3" w15:restartNumberingAfterBreak="0">
    <w:nsid w:val="464E6F53"/>
    <w:multiLevelType w:val="multilevel"/>
    <w:tmpl w:val="14D0F892"/>
    <w:lvl w:ilvl="0">
      <w:start w:val="4"/>
      <w:numFmt w:val="decimal"/>
      <w:lvlText w:val="%1."/>
      <w:lvlJc w:val="left"/>
      <w:pPr>
        <w:tabs>
          <w:tab w:val="num" w:pos="600"/>
        </w:tabs>
        <w:ind w:left="600" w:hanging="600"/>
      </w:pPr>
      <w:rPr>
        <w:rFonts w:hint="default"/>
      </w:rPr>
    </w:lvl>
    <w:lvl w:ilvl="1">
      <w:start w:val="3"/>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4" w15:restartNumberingAfterBreak="0">
    <w:nsid w:val="4A5E4802"/>
    <w:multiLevelType w:val="multilevel"/>
    <w:tmpl w:val="5D063B8A"/>
    <w:lvl w:ilvl="0">
      <w:start w:val="2"/>
      <w:numFmt w:val="decimal"/>
      <w:lvlText w:val="%1."/>
      <w:lvlJc w:val="left"/>
      <w:pPr>
        <w:tabs>
          <w:tab w:val="num" w:pos="870"/>
        </w:tabs>
        <w:ind w:left="870" w:hanging="870"/>
      </w:pPr>
      <w:rPr>
        <w:rFonts w:hint="default"/>
      </w:rPr>
    </w:lvl>
    <w:lvl w:ilvl="1">
      <w:start w:val="2"/>
      <w:numFmt w:val="decimal"/>
      <w:lvlText w:val="%1.%2."/>
      <w:lvlJc w:val="left"/>
      <w:pPr>
        <w:tabs>
          <w:tab w:val="num" w:pos="945"/>
        </w:tabs>
        <w:ind w:left="945" w:hanging="870"/>
      </w:pPr>
      <w:rPr>
        <w:rFonts w:hint="default"/>
      </w:rPr>
    </w:lvl>
    <w:lvl w:ilvl="2">
      <w:start w:val="1"/>
      <w:numFmt w:val="decimal"/>
      <w:lvlText w:val="%1.%2.%3."/>
      <w:lvlJc w:val="left"/>
      <w:pPr>
        <w:tabs>
          <w:tab w:val="num" w:pos="1020"/>
        </w:tabs>
        <w:ind w:left="1020" w:hanging="87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5" w15:restartNumberingAfterBreak="0">
    <w:nsid w:val="4C854093"/>
    <w:multiLevelType w:val="multilevel"/>
    <w:tmpl w:val="3828B9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720"/>
      </w:pPr>
      <w:rPr>
        <w:rFonts w:hint="default"/>
      </w:rPr>
    </w:lvl>
    <w:lvl w:ilvl="2">
      <w:start w:val="1"/>
      <w:numFmt w:val="decimal"/>
      <w:isLgl/>
      <w:lvlText w:val="%1.%2.%3."/>
      <w:lvlJc w:val="left"/>
      <w:pPr>
        <w:tabs>
          <w:tab w:val="num" w:pos="870"/>
        </w:tabs>
        <w:ind w:left="870"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815"/>
        </w:tabs>
        <w:ind w:left="1815" w:hanging="1440"/>
      </w:pPr>
      <w:rPr>
        <w:rFonts w:hint="default"/>
      </w:rPr>
    </w:lvl>
    <w:lvl w:ilvl="6">
      <w:start w:val="1"/>
      <w:numFmt w:val="decimal"/>
      <w:isLgl/>
      <w:lvlText w:val="%1.%2.%3.%4.%5.%6.%7."/>
      <w:lvlJc w:val="left"/>
      <w:pPr>
        <w:tabs>
          <w:tab w:val="num" w:pos="2250"/>
        </w:tabs>
        <w:ind w:left="2250" w:hanging="1800"/>
      </w:pPr>
      <w:rPr>
        <w:rFonts w:hint="default"/>
      </w:rPr>
    </w:lvl>
    <w:lvl w:ilvl="7">
      <w:start w:val="1"/>
      <w:numFmt w:val="decimal"/>
      <w:isLgl/>
      <w:lvlText w:val="%1.%2.%3.%4.%5.%6.%7.%8."/>
      <w:lvlJc w:val="left"/>
      <w:pPr>
        <w:tabs>
          <w:tab w:val="num" w:pos="2325"/>
        </w:tabs>
        <w:ind w:left="2325"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6" w15:restartNumberingAfterBreak="0">
    <w:nsid w:val="5EC201C7"/>
    <w:multiLevelType w:val="multilevel"/>
    <w:tmpl w:val="BF7EE39C"/>
    <w:lvl w:ilvl="0">
      <w:start w:val="3"/>
      <w:numFmt w:val="decimal"/>
      <w:lvlText w:val="%1."/>
      <w:lvlJc w:val="left"/>
      <w:pPr>
        <w:tabs>
          <w:tab w:val="num" w:pos="430"/>
        </w:tabs>
        <w:ind w:left="430" w:hanging="4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160478C"/>
    <w:multiLevelType w:val="multilevel"/>
    <w:tmpl w:val="36AE0EA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17D1710"/>
    <w:multiLevelType w:val="multilevel"/>
    <w:tmpl w:val="EE28F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63"/>
        </w:tabs>
        <w:ind w:left="1463" w:hanging="720"/>
      </w:pPr>
      <w:rPr>
        <w:rFonts w:hint="default"/>
      </w:rPr>
    </w:lvl>
    <w:lvl w:ilvl="2">
      <w:start w:val="1"/>
      <w:numFmt w:val="decimal"/>
      <w:lvlText w:val="%1.%2.%3."/>
      <w:lvlJc w:val="left"/>
      <w:pPr>
        <w:tabs>
          <w:tab w:val="num" w:pos="2206"/>
        </w:tabs>
        <w:ind w:left="2206" w:hanging="720"/>
      </w:pPr>
      <w:rPr>
        <w:rFonts w:hint="default"/>
      </w:rPr>
    </w:lvl>
    <w:lvl w:ilvl="3">
      <w:start w:val="1"/>
      <w:numFmt w:val="decimal"/>
      <w:lvlText w:val="%1.%2.%3.%4."/>
      <w:lvlJc w:val="left"/>
      <w:pPr>
        <w:tabs>
          <w:tab w:val="num" w:pos="3309"/>
        </w:tabs>
        <w:ind w:left="3309" w:hanging="1080"/>
      </w:pPr>
      <w:rPr>
        <w:rFonts w:hint="default"/>
      </w:rPr>
    </w:lvl>
    <w:lvl w:ilvl="4">
      <w:start w:val="1"/>
      <w:numFmt w:val="decimal"/>
      <w:lvlText w:val="%1.%2.%3.%4.%5."/>
      <w:lvlJc w:val="left"/>
      <w:pPr>
        <w:tabs>
          <w:tab w:val="num" w:pos="4052"/>
        </w:tabs>
        <w:ind w:left="4052" w:hanging="1080"/>
      </w:pPr>
      <w:rPr>
        <w:rFonts w:hint="default"/>
      </w:rPr>
    </w:lvl>
    <w:lvl w:ilvl="5">
      <w:start w:val="1"/>
      <w:numFmt w:val="decimal"/>
      <w:lvlText w:val="%1.%2.%3.%4.%5.%6."/>
      <w:lvlJc w:val="left"/>
      <w:pPr>
        <w:tabs>
          <w:tab w:val="num" w:pos="5155"/>
        </w:tabs>
        <w:ind w:left="5155" w:hanging="1440"/>
      </w:pPr>
      <w:rPr>
        <w:rFonts w:hint="default"/>
      </w:rPr>
    </w:lvl>
    <w:lvl w:ilvl="6">
      <w:start w:val="1"/>
      <w:numFmt w:val="decimal"/>
      <w:lvlText w:val="%1.%2.%3.%4.%5.%6.%7."/>
      <w:lvlJc w:val="left"/>
      <w:pPr>
        <w:tabs>
          <w:tab w:val="num" w:pos="6258"/>
        </w:tabs>
        <w:ind w:left="6258" w:hanging="1800"/>
      </w:pPr>
      <w:rPr>
        <w:rFonts w:hint="default"/>
      </w:rPr>
    </w:lvl>
    <w:lvl w:ilvl="7">
      <w:start w:val="1"/>
      <w:numFmt w:val="decimal"/>
      <w:lvlText w:val="%1.%2.%3.%4.%5.%6.%7.%8."/>
      <w:lvlJc w:val="left"/>
      <w:pPr>
        <w:tabs>
          <w:tab w:val="num" w:pos="7001"/>
        </w:tabs>
        <w:ind w:left="7001" w:hanging="1800"/>
      </w:pPr>
      <w:rPr>
        <w:rFonts w:hint="default"/>
      </w:rPr>
    </w:lvl>
    <w:lvl w:ilvl="8">
      <w:start w:val="1"/>
      <w:numFmt w:val="decimal"/>
      <w:lvlText w:val="%1.%2.%3.%4.%5.%6.%7.%8.%9."/>
      <w:lvlJc w:val="left"/>
      <w:pPr>
        <w:tabs>
          <w:tab w:val="num" w:pos="8104"/>
        </w:tabs>
        <w:ind w:left="8104" w:hanging="2160"/>
      </w:pPr>
      <w:rPr>
        <w:rFonts w:hint="default"/>
      </w:rPr>
    </w:lvl>
  </w:abstractNum>
  <w:abstractNum w:abstractNumId="9" w15:restartNumberingAfterBreak="0">
    <w:nsid w:val="75505F40"/>
    <w:multiLevelType w:val="multilevel"/>
    <w:tmpl w:val="C38ED2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536"/>
        </w:tabs>
        <w:ind w:left="0" w:firstLine="680"/>
      </w:pPr>
      <w:rPr>
        <w:rFonts w:hint="default"/>
      </w:rPr>
    </w:lvl>
    <w:lvl w:ilvl="2">
      <w:start w:val="1"/>
      <w:numFmt w:val="decimal"/>
      <w:lvlText w:val="%1.%2.%3."/>
      <w:lvlJc w:val="left"/>
      <w:pPr>
        <w:tabs>
          <w:tab w:val="num" w:pos="2206"/>
        </w:tabs>
        <w:ind w:left="2206" w:hanging="720"/>
      </w:pPr>
      <w:rPr>
        <w:rFonts w:hint="default"/>
      </w:rPr>
    </w:lvl>
    <w:lvl w:ilvl="3">
      <w:start w:val="1"/>
      <w:numFmt w:val="decimal"/>
      <w:lvlText w:val="%1.%2.%3.%4."/>
      <w:lvlJc w:val="left"/>
      <w:pPr>
        <w:tabs>
          <w:tab w:val="num" w:pos="3309"/>
        </w:tabs>
        <w:ind w:left="3309" w:hanging="1080"/>
      </w:pPr>
      <w:rPr>
        <w:rFonts w:hint="default"/>
      </w:rPr>
    </w:lvl>
    <w:lvl w:ilvl="4">
      <w:start w:val="1"/>
      <w:numFmt w:val="decimal"/>
      <w:lvlText w:val="%1.%2.%3.%4.%5."/>
      <w:lvlJc w:val="left"/>
      <w:pPr>
        <w:tabs>
          <w:tab w:val="num" w:pos="4052"/>
        </w:tabs>
        <w:ind w:left="4052" w:hanging="1080"/>
      </w:pPr>
      <w:rPr>
        <w:rFonts w:hint="default"/>
      </w:rPr>
    </w:lvl>
    <w:lvl w:ilvl="5">
      <w:start w:val="1"/>
      <w:numFmt w:val="decimal"/>
      <w:lvlText w:val="%1.%2.%3.%4.%5.%6."/>
      <w:lvlJc w:val="left"/>
      <w:pPr>
        <w:tabs>
          <w:tab w:val="num" w:pos="5155"/>
        </w:tabs>
        <w:ind w:left="5155" w:hanging="1440"/>
      </w:pPr>
      <w:rPr>
        <w:rFonts w:hint="default"/>
      </w:rPr>
    </w:lvl>
    <w:lvl w:ilvl="6">
      <w:start w:val="1"/>
      <w:numFmt w:val="decimal"/>
      <w:lvlText w:val="%1.%2.%3.%4.%5.%6.%7."/>
      <w:lvlJc w:val="left"/>
      <w:pPr>
        <w:tabs>
          <w:tab w:val="num" w:pos="6258"/>
        </w:tabs>
        <w:ind w:left="6258" w:hanging="1800"/>
      </w:pPr>
      <w:rPr>
        <w:rFonts w:hint="default"/>
      </w:rPr>
    </w:lvl>
    <w:lvl w:ilvl="7">
      <w:start w:val="1"/>
      <w:numFmt w:val="decimal"/>
      <w:lvlText w:val="%1.%2.%3.%4.%5.%6.%7.%8."/>
      <w:lvlJc w:val="left"/>
      <w:pPr>
        <w:tabs>
          <w:tab w:val="num" w:pos="7001"/>
        </w:tabs>
        <w:ind w:left="7001" w:hanging="1800"/>
      </w:pPr>
      <w:rPr>
        <w:rFonts w:hint="default"/>
      </w:rPr>
    </w:lvl>
    <w:lvl w:ilvl="8">
      <w:start w:val="1"/>
      <w:numFmt w:val="decimal"/>
      <w:lvlText w:val="%1.%2.%3.%4.%5.%6.%7.%8.%9."/>
      <w:lvlJc w:val="left"/>
      <w:pPr>
        <w:tabs>
          <w:tab w:val="num" w:pos="8104"/>
        </w:tabs>
        <w:ind w:left="8104" w:hanging="2160"/>
      </w:pPr>
      <w:rPr>
        <w:rFonts w:hint="default"/>
      </w:rPr>
    </w:lvl>
  </w:abstractNum>
  <w:abstractNum w:abstractNumId="10" w15:restartNumberingAfterBreak="0">
    <w:nsid w:val="7DDE061A"/>
    <w:multiLevelType w:val="multilevel"/>
    <w:tmpl w:val="6A64DC0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EA250A4"/>
    <w:multiLevelType w:val="hybridMultilevel"/>
    <w:tmpl w:val="3CD63AB6"/>
    <w:lvl w:ilvl="0" w:tplc="340E74D2">
      <w:start w:val="1"/>
      <w:numFmt w:val="bullet"/>
      <w:lvlText w:val="-"/>
      <w:lvlJc w:val="left"/>
      <w:pPr>
        <w:tabs>
          <w:tab w:val="num" w:pos="930"/>
        </w:tabs>
        <w:ind w:left="930" w:hanging="360"/>
      </w:pPr>
      <w:rPr>
        <w:rFonts w:ascii="Times New Roman" w:eastAsia="Batang"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10"/>
  </w:num>
  <w:num w:numId="7">
    <w:abstractNumId w:val="0"/>
  </w:num>
  <w:num w:numId="8">
    <w:abstractNumId w:val="9"/>
  </w:num>
  <w:num w:numId="9">
    <w:abstractNumId w:val="8"/>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016"/>
    <w:rsid w:val="00002AC8"/>
    <w:rsid w:val="00004877"/>
    <w:rsid w:val="00011BD3"/>
    <w:rsid w:val="00012695"/>
    <w:rsid w:val="00015495"/>
    <w:rsid w:val="00017267"/>
    <w:rsid w:val="00020A2D"/>
    <w:rsid w:val="00024BA2"/>
    <w:rsid w:val="00024E8F"/>
    <w:rsid w:val="00027DE2"/>
    <w:rsid w:val="0003089A"/>
    <w:rsid w:val="0003180B"/>
    <w:rsid w:val="00031D8E"/>
    <w:rsid w:val="000327E0"/>
    <w:rsid w:val="00036CCA"/>
    <w:rsid w:val="00037CE3"/>
    <w:rsid w:val="00042E83"/>
    <w:rsid w:val="00045E34"/>
    <w:rsid w:val="00046391"/>
    <w:rsid w:val="00046BDA"/>
    <w:rsid w:val="0005042A"/>
    <w:rsid w:val="00050709"/>
    <w:rsid w:val="000527F1"/>
    <w:rsid w:val="0005286B"/>
    <w:rsid w:val="00055FD8"/>
    <w:rsid w:val="00060417"/>
    <w:rsid w:val="00060A57"/>
    <w:rsid w:val="00066C51"/>
    <w:rsid w:val="00070344"/>
    <w:rsid w:val="00081E3F"/>
    <w:rsid w:val="0008235E"/>
    <w:rsid w:val="00085C52"/>
    <w:rsid w:val="000875E8"/>
    <w:rsid w:val="00087703"/>
    <w:rsid w:val="00087ED4"/>
    <w:rsid w:val="00093A4A"/>
    <w:rsid w:val="000948C1"/>
    <w:rsid w:val="00094B3A"/>
    <w:rsid w:val="00094BDE"/>
    <w:rsid w:val="00095F44"/>
    <w:rsid w:val="000A155A"/>
    <w:rsid w:val="000A396C"/>
    <w:rsid w:val="000B0423"/>
    <w:rsid w:val="000B173F"/>
    <w:rsid w:val="000B5F06"/>
    <w:rsid w:val="000C61C3"/>
    <w:rsid w:val="000C7BF6"/>
    <w:rsid w:val="000D23B3"/>
    <w:rsid w:val="000D4F60"/>
    <w:rsid w:val="000D5214"/>
    <w:rsid w:val="000D54A9"/>
    <w:rsid w:val="000D6492"/>
    <w:rsid w:val="000E03C7"/>
    <w:rsid w:val="000E1574"/>
    <w:rsid w:val="000E53CC"/>
    <w:rsid w:val="000F171E"/>
    <w:rsid w:val="000F6842"/>
    <w:rsid w:val="000F77BB"/>
    <w:rsid w:val="001006D9"/>
    <w:rsid w:val="0011089A"/>
    <w:rsid w:val="00112181"/>
    <w:rsid w:val="0011524B"/>
    <w:rsid w:val="00117F77"/>
    <w:rsid w:val="00120E12"/>
    <w:rsid w:val="001216FB"/>
    <w:rsid w:val="00123DAD"/>
    <w:rsid w:val="001256E8"/>
    <w:rsid w:val="00130745"/>
    <w:rsid w:val="00131D30"/>
    <w:rsid w:val="0013286D"/>
    <w:rsid w:val="00134232"/>
    <w:rsid w:val="00143C43"/>
    <w:rsid w:val="0014763C"/>
    <w:rsid w:val="00147BBB"/>
    <w:rsid w:val="00151820"/>
    <w:rsid w:val="001640A2"/>
    <w:rsid w:val="00171114"/>
    <w:rsid w:val="00172032"/>
    <w:rsid w:val="00172DCA"/>
    <w:rsid w:val="00173900"/>
    <w:rsid w:val="00173E85"/>
    <w:rsid w:val="001743CA"/>
    <w:rsid w:val="00180F88"/>
    <w:rsid w:val="00181F9B"/>
    <w:rsid w:val="001838CF"/>
    <w:rsid w:val="00184617"/>
    <w:rsid w:val="00185B73"/>
    <w:rsid w:val="0018606B"/>
    <w:rsid w:val="00192988"/>
    <w:rsid w:val="0019341A"/>
    <w:rsid w:val="00196489"/>
    <w:rsid w:val="00196495"/>
    <w:rsid w:val="00196D65"/>
    <w:rsid w:val="001A74B0"/>
    <w:rsid w:val="001A7CA7"/>
    <w:rsid w:val="001B0656"/>
    <w:rsid w:val="001B406D"/>
    <w:rsid w:val="001B51EE"/>
    <w:rsid w:val="001B5B00"/>
    <w:rsid w:val="001B61A4"/>
    <w:rsid w:val="001B61C4"/>
    <w:rsid w:val="001C0360"/>
    <w:rsid w:val="001C2337"/>
    <w:rsid w:val="001C3598"/>
    <w:rsid w:val="001C3C9F"/>
    <w:rsid w:val="001C4F7E"/>
    <w:rsid w:val="001C560F"/>
    <w:rsid w:val="001C588C"/>
    <w:rsid w:val="001C7849"/>
    <w:rsid w:val="001D2EE0"/>
    <w:rsid w:val="001D3519"/>
    <w:rsid w:val="001D5FEB"/>
    <w:rsid w:val="001D6B72"/>
    <w:rsid w:val="001E283B"/>
    <w:rsid w:val="001E3306"/>
    <w:rsid w:val="001E36C8"/>
    <w:rsid w:val="001E656D"/>
    <w:rsid w:val="001E7BF6"/>
    <w:rsid w:val="001F1A8C"/>
    <w:rsid w:val="001F1C84"/>
    <w:rsid w:val="001F21E6"/>
    <w:rsid w:val="001F2D52"/>
    <w:rsid w:val="001F5E39"/>
    <w:rsid w:val="002034E2"/>
    <w:rsid w:val="00206269"/>
    <w:rsid w:val="0021106E"/>
    <w:rsid w:val="002110DA"/>
    <w:rsid w:val="00212573"/>
    <w:rsid w:val="00213FD2"/>
    <w:rsid w:val="0021444E"/>
    <w:rsid w:val="00215803"/>
    <w:rsid w:val="00215BB7"/>
    <w:rsid w:val="00216C38"/>
    <w:rsid w:val="0022318C"/>
    <w:rsid w:val="00225FFC"/>
    <w:rsid w:val="00227EB0"/>
    <w:rsid w:val="0023685A"/>
    <w:rsid w:val="00240151"/>
    <w:rsid w:val="00240E8F"/>
    <w:rsid w:val="0025066D"/>
    <w:rsid w:val="00251D0E"/>
    <w:rsid w:val="002528BD"/>
    <w:rsid w:val="00256420"/>
    <w:rsid w:val="00256C4C"/>
    <w:rsid w:val="00256F8E"/>
    <w:rsid w:val="00257DE4"/>
    <w:rsid w:val="002650EE"/>
    <w:rsid w:val="00265BC4"/>
    <w:rsid w:val="00265FDB"/>
    <w:rsid w:val="00267544"/>
    <w:rsid w:val="00274DFE"/>
    <w:rsid w:val="002753E9"/>
    <w:rsid w:val="00280BEF"/>
    <w:rsid w:val="00282E40"/>
    <w:rsid w:val="00283D43"/>
    <w:rsid w:val="002866A4"/>
    <w:rsid w:val="00292B9F"/>
    <w:rsid w:val="002931CB"/>
    <w:rsid w:val="002970BF"/>
    <w:rsid w:val="002A5876"/>
    <w:rsid w:val="002A5D80"/>
    <w:rsid w:val="002A6F27"/>
    <w:rsid w:val="002B0E7B"/>
    <w:rsid w:val="002B1C05"/>
    <w:rsid w:val="002B1C5F"/>
    <w:rsid w:val="002B4CD2"/>
    <w:rsid w:val="002B7537"/>
    <w:rsid w:val="002C0965"/>
    <w:rsid w:val="002C1FCF"/>
    <w:rsid w:val="002C324B"/>
    <w:rsid w:val="002C4F8E"/>
    <w:rsid w:val="002C61DC"/>
    <w:rsid w:val="002C7842"/>
    <w:rsid w:val="002D2DF1"/>
    <w:rsid w:val="002D6F2E"/>
    <w:rsid w:val="002D71D5"/>
    <w:rsid w:val="002D7A48"/>
    <w:rsid w:val="002E12E1"/>
    <w:rsid w:val="002E1CA0"/>
    <w:rsid w:val="002F2E35"/>
    <w:rsid w:val="00301C43"/>
    <w:rsid w:val="00302989"/>
    <w:rsid w:val="00303D1A"/>
    <w:rsid w:val="00310A9C"/>
    <w:rsid w:val="00316BC0"/>
    <w:rsid w:val="00317F55"/>
    <w:rsid w:val="00334084"/>
    <w:rsid w:val="003349A3"/>
    <w:rsid w:val="00337603"/>
    <w:rsid w:val="00342F05"/>
    <w:rsid w:val="00343170"/>
    <w:rsid w:val="00345311"/>
    <w:rsid w:val="003465F6"/>
    <w:rsid w:val="0034726C"/>
    <w:rsid w:val="003529BE"/>
    <w:rsid w:val="003535D4"/>
    <w:rsid w:val="00353CAE"/>
    <w:rsid w:val="00353D0F"/>
    <w:rsid w:val="00354476"/>
    <w:rsid w:val="00355719"/>
    <w:rsid w:val="00355B5B"/>
    <w:rsid w:val="003625EA"/>
    <w:rsid w:val="003633BC"/>
    <w:rsid w:val="00366E69"/>
    <w:rsid w:val="003676DC"/>
    <w:rsid w:val="00372E1A"/>
    <w:rsid w:val="003757EB"/>
    <w:rsid w:val="003762E7"/>
    <w:rsid w:val="00380962"/>
    <w:rsid w:val="003874D8"/>
    <w:rsid w:val="00390F53"/>
    <w:rsid w:val="00393079"/>
    <w:rsid w:val="0039392A"/>
    <w:rsid w:val="00394C8D"/>
    <w:rsid w:val="00396005"/>
    <w:rsid w:val="00397FF7"/>
    <w:rsid w:val="003A1B72"/>
    <w:rsid w:val="003B3E00"/>
    <w:rsid w:val="003B571E"/>
    <w:rsid w:val="003C11D2"/>
    <w:rsid w:val="003C249D"/>
    <w:rsid w:val="003C39C0"/>
    <w:rsid w:val="003C6596"/>
    <w:rsid w:val="003D10C2"/>
    <w:rsid w:val="003D15CC"/>
    <w:rsid w:val="003D4380"/>
    <w:rsid w:val="003D7B23"/>
    <w:rsid w:val="003E06A3"/>
    <w:rsid w:val="003E597F"/>
    <w:rsid w:val="003F17FF"/>
    <w:rsid w:val="003F235F"/>
    <w:rsid w:val="003F57FF"/>
    <w:rsid w:val="003F71E8"/>
    <w:rsid w:val="00400E32"/>
    <w:rsid w:val="00403B94"/>
    <w:rsid w:val="004075B6"/>
    <w:rsid w:val="00411675"/>
    <w:rsid w:val="0041188B"/>
    <w:rsid w:val="004127DC"/>
    <w:rsid w:val="00414282"/>
    <w:rsid w:val="00417725"/>
    <w:rsid w:val="00422A59"/>
    <w:rsid w:val="00423067"/>
    <w:rsid w:val="00426560"/>
    <w:rsid w:val="00427BE4"/>
    <w:rsid w:val="00427DF1"/>
    <w:rsid w:val="0043129C"/>
    <w:rsid w:val="00433453"/>
    <w:rsid w:val="00435F4E"/>
    <w:rsid w:val="00436F7B"/>
    <w:rsid w:val="00441516"/>
    <w:rsid w:val="0044278D"/>
    <w:rsid w:val="0044747A"/>
    <w:rsid w:val="00447B0B"/>
    <w:rsid w:val="0045295A"/>
    <w:rsid w:val="004535BA"/>
    <w:rsid w:val="004610BE"/>
    <w:rsid w:val="004614B8"/>
    <w:rsid w:val="00465FD9"/>
    <w:rsid w:val="00466E90"/>
    <w:rsid w:val="00467389"/>
    <w:rsid w:val="0047085A"/>
    <w:rsid w:val="00472569"/>
    <w:rsid w:val="00473AF5"/>
    <w:rsid w:val="0047430C"/>
    <w:rsid w:val="00476245"/>
    <w:rsid w:val="0048158E"/>
    <w:rsid w:val="004817F8"/>
    <w:rsid w:val="004839DE"/>
    <w:rsid w:val="00483E42"/>
    <w:rsid w:val="00485911"/>
    <w:rsid w:val="00486EF8"/>
    <w:rsid w:val="004879DA"/>
    <w:rsid w:val="00487CEF"/>
    <w:rsid w:val="00490983"/>
    <w:rsid w:val="00497862"/>
    <w:rsid w:val="004A0504"/>
    <w:rsid w:val="004A56D1"/>
    <w:rsid w:val="004A5841"/>
    <w:rsid w:val="004A5D61"/>
    <w:rsid w:val="004A64B0"/>
    <w:rsid w:val="004A6792"/>
    <w:rsid w:val="004B0857"/>
    <w:rsid w:val="004B19E5"/>
    <w:rsid w:val="004B1D3A"/>
    <w:rsid w:val="004B25C4"/>
    <w:rsid w:val="004D64E2"/>
    <w:rsid w:val="004E5EDF"/>
    <w:rsid w:val="004F22C4"/>
    <w:rsid w:val="004F2E0E"/>
    <w:rsid w:val="004F33A7"/>
    <w:rsid w:val="004F4AA9"/>
    <w:rsid w:val="004F4C50"/>
    <w:rsid w:val="004F5251"/>
    <w:rsid w:val="0050066D"/>
    <w:rsid w:val="00501760"/>
    <w:rsid w:val="00506864"/>
    <w:rsid w:val="00511E4F"/>
    <w:rsid w:val="00513592"/>
    <w:rsid w:val="0051418A"/>
    <w:rsid w:val="00515DCA"/>
    <w:rsid w:val="005214B9"/>
    <w:rsid w:val="00521CCC"/>
    <w:rsid w:val="005233DA"/>
    <w:rsid w:val="00523FC0"/>
    <w:rsid w:val="005269D9"/>
    <w:rsid w:val="0052701C"/>
    <w:rsid w:val="00527030"/>
    <w:rsid w:val="00531924"/>
    <w:rsid w:val="00536205"/>
    <w:rsid w:val="00537054"/>
    <w:rsid w:val="00544991"/>
    <w:rsid w:val="0055101D"/>
    <w:rsid w:val="0055111E"/>
    <w:rsid w:val="0055509C"/>
    <w:rsid w:val="00555D02"/>
    <w:rsid w:val="00556016"/>
    <w:rsid w:val="00556AAE"/>
    <w:rsid w:val="00560E8F"/>
    <w:rsid w:val="0056268A"/>
    <w:rsid w:val="005633FD"/>
    <w:rsid w:val="005656C7"/>
    <w:rsid w:val="00572172"/>
    <w:rsid w:val="00574B77"/>
    <w:rsid w:val="00576142"/>
    <w:rsid w:val="0057624A"/>
    <w:rsid w:val="0057698A"/>
    <w:rsid w:val="0057708F"/>
    <w:rsid w:val="00577740"/>
    <w:rsid w:val="00577BA5"/>
    <w:rsid w:val="005831B8"/>
    <w:rsid w:val="00583512"/>
    <w:rsid w:val="00591E92"/>
    <w:rsid w:val="005969BB"/>
    <w:rsid w:val="005A112C"/>
    <w:rsid w:val="005B0264"/>
    <w:rsid w:val="005B5B6C"/>
    <w:rsid w:val="005B624D"/>
    <w:rsid w:val="005B6E07"/>
    <w:rsid w:val="005C0193"/>
    <w:rsid w:val="005C0DA8"/>
    <w:rsid w:val="005C16C1"/>
    <w:rsid w:val="005C7E12"/>
    <w:rsid w:val="005D06A0"/>
    <w:rsid w:val="005D1C6C"/>
    <w:rsid w:val="005D2A81"/>
    <w:rsid w:val="005D32EF"/>
    <w:rsid w:val="005D52A8"/>
    <w:rsid w:val="005E367F"/>
    <w:rsid w:val="005E3DA6"/>
    <w:rsid w:val="005E52DC"/>
    <w:rsid w:val="005E7635"/>
    <w:rsid w:val="005F128C"/>
    <w:rsid w:val="005F5F21"/>
    <w:rsid w:val="00603337"/>
    <w:rsid w:val="00603C48"/>
    <w:rsid w:val="006040C2"/>
    <w:rsid w:val="006043A4"/>
    <w:rsid w:val="00604BE5"/>
    <w:rsid w:val="006059DD"/>
    <w:rsid w:val="00605A37"/>
    <w:rsid w:val="00607241"/>
    <w:rsid w:val="0061387C"/>
    <w:rsid w:val="00613B24"/>
    <w:rsid w:val="006165A1"/>
    <w:rsid w:val="00617F90"/>
    <w:rsid w:val="006230DF"/>
    <w:rsid w:val="0063002B"/>
    <w:rsid w:val="00637EE8"/>
    <w:rsid w:val="00640DBD"/>
    <w:rsid w:val="00640E95"/>
    <w:rsid w:val="00641058"/>
    <w:rsid w:val="0064182A"/>
    <w:rsid w:val="00646B05"/>
    <w:rsid w:val="00647521"/>
    <w:rsid w:val="00657521"/>
    <w:rsid w:val="0066486D"/>
    <w:rsid w:val="00667C27"/>
    <w:rsid w:val="00681A2D"/>
    <w:rsid w:val="0068289C"/>
    <w:rsid w:val="00683C87"/>
    <w:rsid w:val="00683DAD"/>
    <w:rsid w:val="00685F42"/>
    <w:rsid w:val="00686BCD"/>
    <w:rsid w:val="006877E9"/>
    <w:rsid w:val="00691235"/>
    <w:rsid w:val="00692C3C"/>
    <w:rsid w:val="006A1C32"/>
    <w:rsid w:val="006A6799"/>
    <w:rsid w:val="006B0FBD"/>
    <w:rsid w:val="006B3410"/>
    <w:rsid w:val="006B4DFD"/>
    <w:rsid w:val="006B5B88"/>
    <w:rsid w:val="006B7D3A"/>
    <w:rsid w:val="006C139B"/>
    <w:rsid w:val="006C6857"/>
    <w:rsid w:val="006C6B72"/>
    <w:rsid w:val="006C7762"/>
    <w:rsid w:val="006D3ADD"/>
    <w:rsid w:val="006D4AF7"/>
    <w:rsid w:val="006D7DBA"/>
    <w:rsid w:val="006E083C"/>
    <w:rsid w:val="006E1865"/>
    <w:rsid w:val="006E469D"/>
    <w:rsid w:val="006E5D6D"/>
    <w:rsid w:val="006F36E8"/>
    <w:rsid w:val="006F37FA"/>
    <w:rsid w:val="006F4DC3"/>
    <w:rsid w:val="00700498"/>
    <w:rsid w:val="00704210"/>
    <w:rsid w:val="00714635"/>
    <w:rsid w:val="00715D59"/>
    <w:rsid w:val="007200F3"/>
    <w:rsid w:val="007234CC"/>
    <w:rsid w:val="0072594A"/>
    <w:rsid w:val="00725DEF"/>
    <w:rsid w:val="00727532"/>
    <w:rsid w:val="0073225F"/>
    <w:rsid w:val="007333C3"/>
    <w:rsid w:val="00735236"/>
    <w:rsid w:val="0073584D"/>
    <w:rsid w:val="007415E1"/>
    <w:rsid w:val="00745FB4"/>
    <w:rsid w:val="007466F5"/>
    <w:rsid w:val="00750C84"/>
    <w:rsid w:val="00750F79"/>
    <w:rsid w:val="0075321B"/>
    <w:rsid w:val="007533A1"/>
    <w:rsid w:val="007557B0"/>
    <w:rsid w:val="007567C6"/>
    <w:rsid w:val="007569AF"/>
    <w:rsid w:val="007572A5"/>
    <w:rsid w:val="007672C8"/>
    <w:rsid w:val="00771B33"/>
    <w:rsid w:val="007731C2"/>
    <w:rsid w:val="00773675"/>
    <w:rsid w:val="007853D3"/>
    <w:rsid w:val="00785C7E"/>
    <w:rsid w:val="00785D23"/>
    <w:rsid w:val="0079094E"/>
    <w:rsid w:val="00793457"/>
    <w:rsid w:val="0079570B"/>
    <w:rsid w:val="007A357A"/>
    <w:rsid w:val="007B37DB"/>
    <w:rsid w:val="007B382C"/>
    <w:rsid w:val="007B7ED5"/>
    <w:rsid w:val="007C00B8"/>
    <w:rsid w:val="007C012F"/>
    <w:rsid w:val="007C1836"/>
    <w:rsid w:val="007C48DA"/>
    <w:rsid w:val="007C6079"/>
    <w:rsid w:val="007C6532"/>
    <w:rsid w:val="007C682F"/>
    <w:rsid w:val="007D2796"/>
    <w:rsid w:val="007D55A3"/>
    <w:rsid w:val="007D6FC2"/>
    <w:rsid w:val="007D7F58"/>
    <w:rsid w:val="007E7DA0"/>
    <w:rsid w:val="007F073A"/>
    <w:rsid w:val="007F211C"/>
    <w:rsid w:val="007F45A5"/>
    <w:rsid w:val="007F4760"/>
    <w:rsid w:val="007F4860"/>
    <w:rsid w:val="007F53C4"/>
    <w:rsid w:val="007F56F2"/>
    <w:rsid w:val="007F7DE1"/>
    <w:rsid w:val="00806D12"/>
    <w:rsid w:val="00810494"/>
    <w:rsid w:val="00812FFC"/>
    <w:rsid w:val="00813B6B"/>
    <w:rsid w:val="008158BE"/>
    <w:rsid w:val="00816342"/>
    <w:rsid w:val="00816A92"/>
    <w:rsid w:val="00824872"/>
    <w:rsid w:val="008258BA"/>
    <w:rsid w:val="008305D9"/>
    <w:rsid w:val="0083126C"/>
    <w:rsid w:val="00831712"/>
    <w:rsid w:val="00833EF4"/>
    <w:rsid w:val="008340E6"/>
    <w:rsid w:val="00834343"/>
    <w:rsid w:val="00840991"/>
    <w:rsid w:val="008454AA"/>
    <w:rsid w:val="00845849"/>
    <w:rsid w:val="0084793C"/>
    <w:rsid w:val="00850552"/>
    <w:rsid w:val="00852E45"/>
    <w:rsid w:val="008536EB"/>
    <w:rsid w:val="00854134"/>
    <w:rsid w:val="00854717"/>
    <w:rsid w:val="00854F75"/>
    <w:rsid w:val="00855035"/>
    <w:rsid w:val="00855764"/>
    <w:rsid w:val="00855B5D"/>
    <w:rsid w:val="008643BD"/>
    <w:rsid w:val="00864625"/>
    <w:rsid w:val="00867072"/>
    <w:rsid w:val="008671C9"/>
    <w:rsid w:val="00871682"/>
    <w:rsid w:val="0087378E"/>
    <w:rsid w:val="008741A7"/>
    <w:rsid w:val="00874E0A"/>
    <w:rsid w:val="008757D1"/>
    <w:rsid w:val="00877343"/>
    <w:rsid w:val="00882599"/>
    <w:rsid w:val="00882C6D"/>
    <w:rsid w:val="00886BD8"/>
    <w:rsid w:val="00887658"/>
    <w:rsid w:val="00890BE9"/>
    <w:rsid w:val="00890D90"/>
    <w:rsid w:val="0089166A"/>
    <w:rsid w:val="008931B8"/>
    <w:rsid w:val="008A1B11"/>
    <w:rsid w:val="008A37E5"/>
    <w:rsid w:val="008A5876"/>
    <w:rsid w:val="008B1B34"/>
    <w:rsid w:val="008B3DC9"/>
    <w:rsid w:val="008B53FB"/>
    <w:rsid w:val="008C5DDA"/>
    <w:rsid w:val="008C6950"/>
    <w:rsid w:val="008C6C93"/>
    <w:rsid w:val="008D005D"/>
    <w:rsid w:val="008D0707"/>
    <w:rsid w:val="008D4755"/>
    <w:rsid w:val="008D6016"/>
    <w:rsid w:val="008D7548"/>
    <w:rsid w:val="008E0400"/>
    <w:rsid w:val="008E4BE2"/>
    <w:rsid w:val="008E68B9"/>
    <w:rsid w:val="008F1D0F"/>
    <w:rsid w:val="008F45C1"/>
    <w:rsid w:val="008F50D2"/>
    <w:rsid w:val="008F5334"/>
    <w:rsid w:val="008F6194"/>
    <w:rsid w:val="00901F75"/>
    <w:rsid w:val="00907AB1"/>
    <w:rsid w:val="00907D0F"/>
    <w:rsid w:val="00911A50"/>
    <w:rsid w:val="00911E54"/>
    <w:rsid w:val="00915151"/>
    <w:rsid w:val="009246E8"/>
    <w:rsid w:val="009247DB"/>
    <w:rsid w:val="00925022"/>
    <w:rsid w:val="00927B55"/>
    <w:rsid w:val="0093475C"/>
    <w:rsid w:val="009356E7"/>
    <w:rsid w:val="00942BC9"/>
    <w:rsid w:val="00945927"/>
    <w:rsid w:val="0095029B"/>
    <w:rsid w:val="009517AF"/>
    <w:rsid w:val="00953678"/>
    <w:rsid w:val="00953D31"/>
    <w:rsid w:val="009545CB"/>
    <w:rsid w:val="00955BE3"/>
    <w:rsid w:val="00962489"/>
    <w:rsid w:val="0096283E"/>
    <w:rsid w:val="00962A43"/>
    <w:rsid w:val="00963D06"/>
    <w:rsid w:val="0096426C"/>
    <w:rsid w:val="00966F4F"/>
    <w:rsid w:val="009674E7"/>
    <w:rsid w:val="00973D02"/>
    <w:rsid w:val="00975A0E"/>
    <w:rsid w:val="009823D7"/>
    <w:rsid w:val="00982E1E"/>
    <w:rsid w:val="0098492D"/>
    <w:rsid w:val="009939FE"/>
    <w:rsid w:val="009A1B0B"/>
    <w:rsid w:val="009A2728"/>
    <w:rsid w:val="009A3616"/>
    <w:rsid w:val="009A4027"/>
    <w:rsid w:val="009A457A"/>
    <w:rsid w:val="009A47F9"/>
    <w:rsid w:val="009A5609"/>
    <w:rsid w:val="009A63CF"/>
    <w:rsid w:val="009A6C84"/>
    <w:rsid w:val="009A6D3D"/>
    <w:rsid w:val="009B6821"/>
    <w:rsid w:val="009B7253"/>
    <w:rsid w:val="009C0DD6"/>
    <w:rsid w:val="009C3EBF"/>
    <w:rsid w:val="009D1006"/>
    <w:rsid w:val="009D766D"/>
    <w:rsid w:val="009E5C89"/>
    <w:rsid w:val="009F0A56"/>
    <w:rsid w:val="009F444B"/>
    <w:rsid w:val="009F7415"/>
    <w:rsid w:val="00A02485"/>
    <w:rsid w:val="00A0342F"/>
    <w:rsid w:val="00A06B02"/>
    <w:rsid w:val="00A0778D"/>
    <w:rsid w:val="00A078D4"/>
    <w:rsid w:val="00A13123"/>
    <w:rsid w:val="00A13D41"/>
    <w:rsid w:val="00A23789"/>
    <w:rsid w:val="00A23A82"/>
    <w:rsid w:val="00A24935"/>
    <w:rsid w:val="00A26E9E"/>
    <w:rsid w:val="00A35DAB"/>
    <w:rsid w:val="00A366AF"/>
    <w:rsid w:val="00A3690F"/>
    <w:rsid w:val="00A43FB1"/>
    <w:rsid w:val="00A44949"/>
    <w:rsid w:val="00A44E9A"/>
    <w:rsid w:val="00A46FD3"/>
    <w:rsid w:val="00A524E2"/>
    <w:rsid w:val="00A5414F"/>
    <w:rsid w:val="00A6050E"/>
    <w:rsid w:val="00A60F07"/>
    <w:rsid w:val="00A61018"/>
    <w:rsid w:val="00A665DE"/>
    <w:rsid w:val="00A70A71"/>
    <w:rsid w:val="00A738AD"/>
    <w:rsid w:val="00A77061"/>
    <w:rsid w:val="00A832DF"/>
    <w:rsid w:val="00A83560"/>
    <w:rsid w:val="00A865E6"/>
    <w:rsid w:val="00A90445"/>
    <w:rsid w:val="00A9113A"/>
    <w:rsid w:val="00A936B3"/>
    <w:rsid w:val="00A942FB"/>
    <w:rsid w:val="00A9599A"/>
    <w:rsid w:val="00AA00C6"/>
    <w:rsid w:val="00AA0610"/>
    <w:rsid w:val="00AA1505"/>
    <w:rsid w:val="00AA2704"/>
    <w:rsid w:val="00AA60D0"/>
    <w:rsid w:val="00AA798D"/>
    <w:rsid w:val="00AA7CA9"/>
    <w:rsid w:val="00AB18ED"/>
    <w:rsid w:val="00AB327F"/>
    <w:rsid w:val="00AB4E46"/>
    <w:rsid w:val="00AB54CC"/>
    <w:rsid w:val="00AB71F6"/>
    <w:rsid w:val="00AC21E6"/>
    <w:rsid w:val="00AC32C4"/>
    <w:rsid w:val="00AC543C"/>
    <w:rsid w:val="00AC5623"/>
    <w:rsid w:val="00AC59D6"/>
    <w:rsid w:val="00AD2E3F"/>
    <w:rsid w:val="00AD43C7"/>
    <w:rsid w:val="00AD4FB1"/>
    <w:rsid w:val="00AD6657"/>
    <w:rsid w:val="00AD6841"/>
    <w:rsid w:val="00AE1580"/>
    <w:rsid w:val="00AE1EB6"/>
    <w:rsid w:val="00AF0CFF"/>
    <w:rsid w:val="00AF295A"/>
    <w:rsid w:val="00AF2BDD"/>
    <w:rsid w:val="00AF4AD9"/>
    <w:rsid w:val="00AF4E47"/>
    <w:rsid w:val="00B02062"/>
    <w:rsid w:val="00B0429A"/>
    <w:rsid w:val="00B05BE5"/>
    <w:rsid w:val="00B06705"/>
    <w:rsid w:val="00B07138"/>
    <w:rsid w:val="00B101D1"/>
    <w:rsid w:val="00B10794"/>
    <w:rsid w:val="00B12967"/>
    <w:rsid w:val="00B12EAA"/>
    <w:rsid w:val="00B14E24"/>
    <w:rsid w:val="00B17D5F"/>
    <w:rsid w:val="00B229E9"/>
    <w:rsid w:val="00B24A98"/>
    <w:rsid w:val="00B26FE9"/>
    <w:rsid w:val="00B27334"/>
    <w:rsid w:val="00B33D84"/>
    <w:rsid w:val="00B35E24"/>
    <w:rsid w:val="00B35F1B"/>
    <w:rsid w:val="00B36C8D"/>
    <w:rsid w:val="00B43D03"/>
    <w:rsid w:val="00B505B5"/>
    <w:rsid w:val="00B52ECD"/>
    <w:rsid w:val="00B532B4"/>
    <w:rsid w:val="00B60894"/>
    <w:rsid w:val="00B63D71"/>
    <w:rsid w:val="00B63E7D"/>
    <w:rsid w:val="00B649DA"/>
    <w:rsid w:val="00B67F9E"/>
    <w:rsid w:val="00B7060D"/>
    <w:rsid w:val="00B7139B"/>
    <w:rsid w:val="00B71638"/>
    <w:rsid w:val="00B7436D"/>
    <w:rsid w:val="00B756F1"/>
    <w:rsid w:val="00B804A0"/>
    <w:rsid w:val="00B8253E"/>
    <w:rsid w:val="00B82BFA"/>
    <w:rsid w:val="00B83C5C"/>
    <w:rsid w:val="00B846EA"/>
    <w:rsid w:val="00B87D3A"/>
    <w:rsid w:val="00B93DD0"/>
    <w:rsid w:val="00B95E36"/>
    <w:rsid w:val="00BA2198"/>
    <w:rsid w:val="00BA2AA1"/>
    <w:rsid w:val="00BA46FB"/>
    <w:rsid w:val="00BA4A89"/>
    <w:rsid w:val="00BB0D1D"/>
    <w:rsid w:val="00BB5BAC"/>
    <w:rsid w:val="00BB6461"/>
    <w:rsid w:val="00BB6C74"/>
    <w:rsid w:val="00BB7EE1"/>
    <w:rsid w:val="00BC06C8"/>
    <w:rsid w:val="00BC080E"/>
    <w:rsid w:val="00BD0EAF"/>
    <w:rsid w:val="00BD1E26"/>
    <w:rsid w:val="00BD1FB7"/>
    <w:rsid w:val="00BD2E52"/>
    <w:rsid w:val="00BD5763"/>
    <w:rsid w:val="00BD5AA3"/>
    <w:rsid w:val="00BD7A55"/>
    <w:rsid w:val="00BE09A4"/>
    <w:rsid w:val="00BE65CC"/>
    <w:rsid w:val="00BF17DB"/>
    <w:rsid w:val="00BF2B2B"/>
    <w:rsid w:val="00BF54FB"/>
    <w:rsid w:val="00C00375"/>
    <w:rsid w:val="00C008BA"/>
    <w:rsid w:val="00C0362A"/>
    <w:rsid w:val="00C10C0B"/>
    <w:rsid w:val="00C115C8"/>
    <w:rsid w:val="00C23D12"/>
    <w:rsid w:val="00C23DCF"/>
    <w:rsid w:val="00C34711"/>
    <w:rsid w:val="00C3664B"/>
    <w:rsid w:val="00C421F5"/>
    <w:rsid w:val="00C472FB"/>
    <w:rsid w:val="00C50068"/>
    <w:rsid w:val="00C513D9"/>
    <w:rsid w:val="00C51769"/>
    <w:rsid w:val="00C518F5"/>
    <w:rsid w:val="00C51AC6"/>
    <w:rsid w:val="00C543A4"/>
    <w:rsid w:val="00C60478"/>
    <w:rsid w:val="00C60BBB"/>
    <w:rsid w:val="00C65A95"/>
    <w:rsid w:val="00C66BF1"/>
    <w:rsid w:val="00C7097B"/>
    <w:rsid w:val="00C7245D"/>
    <w:rsid w:val="00C7449A"/>
    <w:rsid w:val="00C74F33"/>
    <w:rsid w:val="00C76BA7"/>
    <w:rsid w:val="00C80393"/>
    <w:rsid w:val="00C81579"/>
    <w:rsid w:val="00C81C7B"/>
    <w:rsid w:val="00C865BA"/>
    <w:rsid w:val="00C86C5C"/>
    <w:rsid w:val="00C906A7"/>
    <w:rsid w:val="00C9624D"/>
    <w:rsid w:val="00CA174E"/>
    <w:rsid w:val="00CA633D"/>
    <w:rsid w:val="00CB07D3"/>
    <w:rsid w:val="00CB0CE6"/>
    <w:rsid w:val="00CB3461"/>
    <w:rsid w:val="00CC1402"/>
    <w:rsid w:val="00CC1911"/>
    <w:rsid w:val="00CC1E3F"/>
    <w:rsid w:val="00CC2F05"/>
    <w:rsid w:val="00CC4C7E"/>
    <w:rsid w:val="00CC7F22"/>
    <w:rsid w:val="00CD1CB9"/>
    <w:rsid w:val="00CD3759"/>
    <w:rsid w:val="00CD597D"/>
    <w:rsid w:val="00CD69AE"/>
    <w:rsid w:val="00CE2582"/>
    <w:rsid w:val="00CE2651"/>
    <w:rsid w:val="00CE2CBD"/>
    <w:rsid w:val="00CE34C8"/>
    <w:rsid w:val="00CE3989"/>
    <w:rsid w:val="00CE43E9"/>
    <w:rsid w:val="00CF08FB"/>
    <w:rsid w:val="00CF0F88"/>
    <w:rsid w:val="00CF4652"/>
    <w:rsid w:val="00CF7C21"/>
    <w:rsid w:val="00D02975"/>
    <w:rsid w:val="00D11ABA"/>
    <w:rsid w:val="00D13BED"/>
    <w:rsid w:val="00D13E02"/>
    <w:rsid w:val="00D15E12"/>
    <w:rsid w:val="00D17042"/>
    <w:rsid w:val="00D2317D"/>
    <w:rsid w:val="00D26C91"/>
    <w:rsid w:val="00D3020B"/>
    <w:rsid w:val="00D3100D"/>
    <w:rsid w:val="00D31090"/>
    <w:rsid w:val="00D31271"/>
    <w:rsid w:val="00D34B0D"/>
    <w:rsid w:val="00D41E64"/>
    <w:rsid w:val="00D426ED"/>
    <w:rsid w:val="00D4646D"/>
    <w:rsid w:val="00D525DF"/>
    <w:rsid w:val="00D55BFE"/>
    <w:rsid w:val="00D578CE"/>
    <w:rsid w:val="00D62E92"/>
    <w:rsid w:val="00D64323"/>
    <w:rsid w:val="00D71206"/>
    <w:rsid w:val="00D71BCC"/>
    <w:rsid w:val="00D73FA1"/>
    <w:rsid w:val="00D80273"/>
    <w:rsid w:val="00D83E0A"/>
    <w:rsid w:val="00D86B70"/>
    <w:rsid w:val="00D910D4"/>
    <w:rsid w:val="00D912E7"/>
    <w:rsid w:val="00D91D6C"/>
    <w:rsid w:val="00D91E0E"/>
    <w:rsid w:val="00D94583"/>
    <w:rsid w:val="00D958DC"/>
    <w:rsid w:val="00DA31EF"/>
    <w:rsid w:val="00DB2461"/>
    <w:rsid w:val="00DB3C35"/>
    <w:rsid w:val="00DB6206"/>
    <w:rsid w:val="00DC1625"/>
    <w:rsid w:val="00DD32E1"/>
    <w:rsid w:val="00DD38AC"/>
    <w:rsid w:val="00DD3B49"/>
    <w:rsid w:val="00DE4E6C"/>
    <w:rsid w:val="00DE513B"/>
    <w:rsid w:val="00DE7ED0"/>
    <w:rsid w:val="00DF0554"/>
    <w:rsid w:val="00DF0990"/>
    <w:rsid w:val="00DF0A79"/>
    <w:rsid w:val="00DF12C9"/>
    <w:rsid w:val="00DF1877"/>
    <w:rsid w:val="00DF4295"/>
    <w:rsid w:val="00DF79D9"/>
    <w:rsid w:val="00E00559"/>
    <w:rsid w:val="00E02F19"/>
    <w:rsid w:val="00E0419A"/>
    <w:rsid w:val="00E07F9F"/>
    <w:rsid w:val="00E1192A"/>
    <w:rsid w:val="00E22B6C"/>
    <w:rsid w:val="00E26929"/>
    <w:rsid w:val="00E3094F"/>
    <w:rsid w:val="00E353A7"/>
    <w:rsid w:val="00E40341"/>
    <w:rsid w:val="00E41CD0"/>
    <w:rsid w:val="00E42A7E"/>
    <w:rsid w:val="00E46706"/>
    <w:rsid w:val="00E47849"/>
    <w:rsid w:val="00E51365"/>
    <w:rsid w:val="00E529DC"/>
    <w:rsid w:val="00E54F03"/>
    <w:rsid w:val="00E5636F"/>
    <w:rsid w:val="00E56FA8"/>
    <w:rsid w:val="00E63B9E"/>
    <w:rsid w:val="00E65AAF"/>
    <w:rsid w:val="00E71988"/>
    <w:rsid w:val="00E71A7C"/>
    <w:rsid w:val="00E72862"/>
    <w:rsid w:val="00E73A18"/>
    <w:rsid w:val="00E73B99"/>
    <w:rsid w:val="00E74F68"/>
    <w:rsid w:val="00E750EB"/>
    <w:rsid w:val="00E76D94"/>
    <w:rsid w:val="00E779ED"/>
    <w:rsid w:val="00E8003F"/>
    <w:rsid w:val="00E82026"/>
    <w:rsid w:val="00E83770"/>
    <w:rsid w:val="00E83F93"/>
    <w:rsid w:val="00E875A1"/>
    <w:rsid w:val="00E90E8C"/>
    <w:rsid w:val="00E92612"/>
    <w:rsid w:val="00E948B9"/>
    <w:rsid w:val="00E949A2"/>
    <w:rsid w:val="00E94A21"/>
    <w:rsid w:val="00E94CAE"/>
    <w:rsid w:val="00E96626"/>
    <w:rsid w:val="00E96D0A"/>
    <w:rsid w:val="00EA0147"/>
    <w:rsid w:val="00EA029C"/>
    <w:rsid w:val="00EA0B12"/>
    <w:rsid w:val="00EA2022"/>
    <w:rsid w:val="00EA279C"/>
    <w:rsid w:val="00EA78A8"/>
    <w:rsid w:val="00EA7914"/>
    <w:rsid w:val="00EB43E2"/>
    <w:rsid w:val="00EB443A"/>
    <w:rsid w:val="00EB74F3"/>
    <w:rsid w:val="00EC0FE5"/>
    <w:rsid w:val="00EC4015"/>
    <w:rsid w:val="00EC59DA"/>
    <w:rsid w:val="00ED1018"/>
    <w:rsid w:val="00ED6308"/>
    <w:rsid w:val="00ED6813"/>
    <w:rsid w:val="00EE1CEC"/>
    <w:rsid w:val="00EF392B"/>
    <w:rsid w:val="00EF54FC"/>
    <w:rsid w:val="00EF6263"/>
    <w:rsid w:val="00F00E45"/>
    <w:rsid w:val="00F0689A"/>
    <w:rsid w:val="00F0716C"/>
    <w:rsid w:val="00F11F70"/>
    <w:rsid w:val="00F13469"/>
    <w:rsid w:val="00F140B0"/>
    <w:rsid w:val="00F17646"/>
    <w:rsid w:val="00F178F5"/>
    <w:rsid w:val="00F20361"/>
    <w:rsid w:val="00F23800"/>
    <w:rsid w:val="00F27056"/>
    <w:rsid w:val="00F32953"/>
    <w:rsid w:val="00F376E2"/>
    <w:rsid w:val="00F3773D"/>
    <w:rsid w:val="00F43388"/>
    <w:rsid w:val="00F54006"/>
    <w:rsid w:val="00F56CA5"/>
    <w:rsid w:val="00F614F4"/>
    <w:rsid w:val="00F6424B"/>
    <w:rsid w:val="00F6640B"/>
    <w:rsid w:val="00F66653"/>
    <w:rsid w:val="00F6780E"/>
    <w:rsid w:val="00F72B65"/>
    <w:rsid w:val="00F73347"/>
    <w:rsid w:val="00F74950"/>
    <w:rsid w:val="00F7506D"/>
    <w:rsid w:val="00F77354"/>
    <w:rsid w:val="00F80CB7"/>
    <w:rsid w:val="00F8283D"/>
    <w:rsid w:val="00F84556"/>
    <w:rsid w:val="00F86021"/>
    <w:rsid w:val="00F94F5A"/>
    <w:rsid w:val="00F97C4B"/>
    <w:rsid w:val="00FA3B1F"/>
    <w:rsid w:val="00FA496D"/>
    <w:rsid w:val="00FA5643"/>
    <w:rsid w:val="00FA76E9"/>
    <w:rsid w:val="00FB076F"/>
    <w:rsid w:val="00FB0F68"/>
    <w:rsid w:val="00FB2C60"/>
    <w:rsid w:val="00FB68E8"/>
    <w:rsid w:val="00FB7810"/>
    <w:rsid w:val="00FC1142"/>
    <w:rsid w:val="00FC3601"/>
    <w:rsid w:val="00FC5862"/>
    <w:rsid w:val="00FD06A2"/>
    <w:rsid w:val="00FD4081"/>
    <w:rsid w:val="00FD6CDF"/>
    <w:rsid w:val="00FE17CC"/>
    <w:rsid w:val="00FE20DE"/>
    <w:rsid w:val="00FE318C"/>
    <w:rsid w:val="00FE7511"/>
    <w:rsid w:val="00FF34CB"/>
    <w:rsid w:val="00FF4484"/>
    <w:rsid w:val="00F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5493B913-C242-4B08-AD3E-DEF98FBE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uk-UA" w:eastAsia="ru-RU"/>
    </w:rPr>
  </w:style>
  <w:style w:type="paragraph" w:styleId="Heading1">
    <w:name w:val="heading 1"/>
    <w:basedOn w:val="Normal"/>
    <w:next w:val="Normal"/>
    <w:qFormat/>
    <w:pPr>
      <w:keepNext/>
      <w:jc w:val="both"/>
      <w:outlineLvl w:val="0"/>
    </w:pPr>
    <w:rPr>
      <w:sz w:val="28"/>
    </w:rPr>
  </w:style>
  <w:style w:type="paragraph" w:styleId="Heading2">
    <w:name w:val="heading 2"/>
    <w:basedOn w:val="Normal"/>
    <w:next w:val="Normal"/>
    <w:qFormat/>
    <w:pPr>
      <w:keepNext/>
      <w:outlineLvl w:val="1"/>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right"/>
    </w:pPr>
    <w:rPr>
      <w:sz w:val="28"/>
    </w:rPr>
  </w:style>
  <w:style w:type="paragraph" w:styleId="BodyText2">
    <w:name w:val="Body Text 2"/>
    <w:basedOn w:val="Normal"/>
    <w:pPr>
      <w:jc w:val="both"/>
    </w:pPr>
    <w:rPr>
      <w:sz w:val="28"/>
    </w:rPr>
  </w:style>
  <w:style w:type="paragraph" w:styleId="BodyText3">
    <w:name w:val="Body Text 3"/>
    <w:basedOn w:val="Normal"/>
    <w:rPr>
      <w:sz w:val="28"/>
    </w:rPr>
  </w:style>
  <w:style w:type="paragraph" w:styleId="Header">
    <w:name w:val="header"/>
    <w:basedOn w:val="Normal"/>
    <w:rsid w:val="008D6016"/>
    <w:pPr>
      <w:tabs>
        <w:tab w:val="center" w:pos="4677"/>
        <w:tab w:val="right" w:pos="9355"/>
      </w:tabs>
    </w:pPr>
  </w:style>
  <w:style w:type="character" w:styleId="PageNumber">
    <w:name w:val="page number"/>
    <w:basedOn w:val="DefaultParagraphFont"/>
    <w:rsid w:val="008D6016"/>
  </w:style>
  <w:style w:type="paragraph" w:styleId="BalloonText">
    <w:name w:val="Balloon Text"/>
    <w:basedOn w:val="Normal"/>
    <w:semiHidden/>
    <w:rsid w:val="00583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2887</Words>
  <Characters>16459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AOI</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WLADI</dc:creator>
  <cp:keywords/>
  <cp:lastModifiedBy>Mykhailo Tolstikhin</cp:lastModifiedBy>
  <cp:revision>2</cp:revision>
  <cp:lastPrinted>2011-11-16T07:57:00Z</cp:lastPrinted>
  <dcterms:created xsi:type="dcterms:W3CDTF">2023-06-08T13:13:00Z</dcterms:created>
  <dcterms:modified xsi:type="dcterms:W3CDTF">2023-06-08T13:13:00Z</dcterms:modified>
</cp:coreProperties>
</file>