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633C6B" w:rsidRDefault="00633C6B" w:rsidP="00633C6B">
      <w:pPr>
        <w:tabs>
          <w:tab w:val="left" w:pos="748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Розпорядження голови </w:t>
      </w:r>
    </w:p>
    <w:p w:rsidR="00633C6B" w:rsidRDefault="00633C6B" w:rsidP="00633C6B">
      <w:pPr>
        <w:tabs>
          <w:tab w:val="left" w:pos="748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обласної державної адміністрації</w:t>
      </w:r>
    </w:p>
    <w:p w:rsidR="00633C6B" w:rsidRDefault="00633C6B" w:rsidP="00633C6B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11.05.2010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154</w:t>
      </w:r>
    </w:p>
    <w:p w:rsidR="00633C6B" w:rsidRDefault="00633C6B" w:rsidP="00633C6B">
      <w:pPr>
        <w:tabs>
          <w:tab w:val="left" w:pos="748"/>
        </w:tabs>
        <w:rPr>
          <w:sz w:val="28"/>
          <w:szCs w:val="28"/>
        </w:rPr>
      </w:pPr>
    </w:p>
    <w:p w:rsidR="00633C6B" w:rsidRDefault="00633C6B" w:rsidP="00633C6B">
      <w:pPr>
        <w:tabs>
          <w:tab w:val="left" w:pos="748"/>
        </w:tabs>
        <w:rPr>
          <w:sz w:val="28"/>
          <w:szCs w:val="28"/>
        </w:rPr>
      </w:pPr>
    </w:p>
    <w:p w:rsidR="00633C6B" w:rsidRPr="003B7B76" w:rsidRDefault="00633C6B" w:rsidP="00633C6B">
      <w:pPr>
        <w:tabs>
          <w:tab w:val="left" w:pos="748"/>
        </w:tabs>
        <w:jc w:val="center"/>
        <w:rPr>
          <w:sz w:val="28"/>
          <w:szCs w:val="28"/>
        </w:rPr>
      </w:pPr>
      <w:r w:rsidRPr="003B7B76">
        <w:rPr>
          <w:sz w:val="28"/>
          <w:szCs w:val="28"/>
        </w:rPr>
        <w:t>Регіональні показники розвитку</w:t>
      </w:r>
    </w:p>
    <w:p w:rsidR="00633C6B" w:rsidRPr="003B7B76" w:rsidRDefault="00633C6B" w:rsidP="00633C6B">
      <w:pPr>
        <w:tabs>
          <w:tab w:val="left" w:pos="748"/>
        </w:tabs>
        <w:jc w:val="center"/>
        <w:rPr>
          <w:sz w:val="28"/>
          <w:szCs w:val="28"/>
        </w:rPr>
      </w:pPr>
      <w:r w:rsidRPr="003B7B76">
        <w:rPr>
          <w:sz w:val="28"/>
          <w:szCs w:val="28"/>
        </w:rPr>
        <w:t>житлового будівництва на 20</w:t>
      </w:r>
      <w:r>
        <w:rPr>
          <w:sz w:val="28"/>
          <w:szCs w:val="28"/>
        </w:rPr>
        <w:t>10</w:t>
      </w:r>
      <w:r w:rsidRPr="003B7B76">
        <w:rPr>
          <w:sz w:val="28"/>
          <w:szCs w:val="28"/>
        </w:rPr>
        <w:t xml:space="preserve"> рік</w:t>
      </w:r>
    </w:p>
    <w:p w:rsidR="00633C6B" w:rsidRDefault="00633C6B" w:rsidP="00633C6B">
      <w:pPr>
        <w:tabs>
          <w:tab w:val="left" w:pos="748"/>
        </w:tabs>
        <w:jc w:val="center"/>
        <w:rPr>
          <w:sz w:val="28"/>
          <w:szCs w:val="28"/>
        </w:rPr>
      </w:pP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Регіональні показники розвитку житлового будівництва на 2010 рік розроблені на виконання доручення Кабінету Міністрів України </w:t>
      </w:r>
      <w:r>
        <w:rPr>
          <w:sz w:val="28"/>
        </w:rPr>
        <w:t xml:space="preserve">від 10.02.2010           № 5948/1/1-10 (до листа </w:t>
      </w:r>
      <w:proofErr w:type="spellStart"/>
      <w:r>
        <w:rPr>
          <w:sz w:val="28"/>
        </w:rPr>
        <w:t>Мінрегіонбуду</w:t>
      </w:r>
      <w:proofErr w:type="spellEnd"/>
      <w:r>
        <w:rPr>
          <w:sz w:val="28"/>
        </w:rPr>
        <w:t xml:space="preserve"> від 02.02.2010 р. № 12/19-1-8-01-238)</w:t>
      </w:r>
      <w:r>
        <w:rPr>
          <w:sz w:val="28"/>
          <w:szCs w:val="28"/>
        </w:rPr>
        <w:t xml:space="preserve"> та </w:t>
      </w:r>
      <w:r w:rsidRPr="00BD48D4">
        <w:rPr>
          <w:sz w:val="28"/>
        </w:rPr>
        <w:t>відповідно до Законів України</w:t>
      </w:r>
      <w:r>
        <w:rPr>
          <w:sz w:val="28"/>
        </w:rPr>
        <w:t xml:space="preserve"> „Про запобігання впливу світової фінансової кризи на розвиток будівельної галузі та житлового </w:t>
      </w:r>
      <w:proofErr w:type="spellStart"/>
      <w:r>
        <w:rPr>
          <w:sz w:val="28"/>
        </w:rPr>
        <w:t>будівництва”</w:t>
      </w:r>
      <w:proofErr w:type="spellEnd"/>
      <w:r>
        <w:rPr>
          <w:sz w:val="28"/>
        </w:rPr>
        <w:t>,</w:t>
      </w:r>
      <w:r w:rsidRPr="00BD48D4">
        <w:rPr>
          <w:sz w:val="28"/>
        </w:rPr>
        <w:t xml:space="preserve"> </w:t>
      </w:r>
      <w:r w:rsidRPr="00BD48D4">
        <w:rPr>
          <w:sz w:val="28"/>
          <w:szCs w:val="28"/>
        </w:rPr>
        <w:t>„</w:t>
      </w:r>
      <w:r w:rsidRPr="00BD48D4">
        <w:rPr>
          <w:sz w:val="28"/>
        </w:rPr>
        <w:t xml:space="preserve">Про місцеві державні </w:t>
      </w:r>
      <w:proofErr w:type="spellStart"/>
      <w:r w:rsidRPr="00BD48D4">
        <w:rPr>
          <w:sz w:val="28"/>
        </w:rPr>
        <w:t>адміністрації</w:t>
      </w:r>
      <w:r w:rsidRPr="00BD48D4">
        <w:rPr>
          <w:sz w:val="28"/>
          <w:szCs w:val="28"/>
        </w:rPr>
        <w:t>”</w:t>
      </w:r>
      <w:proofErr w:type="spellEnd"/>
      <w:r>
        <w:rPr>
          <w:sz w:val="28"/>
        </w:rPr>
        <w:t>, а також з метою конкретизації окремих позицій розділу „</w:t>
      </w:r>
      <w:r w:rsidRPr="008C53D5">
        <w:rPr>
          <w:sz w:val="28"/>
          <w:szCs w:val="28"/>
        </w:rPr>
        <w:t xml:space="preserve">Реалізація житлової </w:t>
      </w:r>
      <w:proofErr w:type="spellStart"/>
      <w:r w:rsidRPr="008C53D5">
        <w:rPr>
          <w:sz w:val="28"/>
          <w:szCs w:val="28"/>
        </w:rPr>
        <w:t>політики</w:t>
      </w:r>
      <w:r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Програми економічного і соціального розвитку Полтавської області на 2010 рік, затвердженої рішенням двадцять четвертої сесії обласної ради п’ятого скликання від 26 лютого 2010 року.</w:t>
      </w:r>
    </w:p>
    <w:p w:rsidR="00633C6B" w:rsidRDefault="00633C6B" w:rsidP="00633C6B">
      <w:pPr>
        <w:tabs>
          <w:tab w:val="left" w:pos="748"/>
        </w:tabs>
        <w:rPr>
          <w:sz w:val="28"/>
          <w:szCs w:val="28"/>
        </w:rPr>
      </w:pP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 w:rsidRPr="003B7B76">
        <w:rPr>
          <w:sz w:val="28"/>
          <w:szCs w:val="28"/>
        </w:rPr>
        <w:tab/>
        <w:t xml:space="preserve">Розділ І. Аналіз стану розвитку житлового будівництва області в </w:t>
      </w:r>
      <w:r>
        <w:rPr>
          <w:sz w:val="28"/>
          <w:szCs w:val="28"/>
        </w:rPr>
        <w:t xml:space="preserve">              </w:t>
      </w:r>
      <w:r w:rsidRPr="003B7B76">
        <w:rPr>
          <w:sz w:val="28"/>
          <w:szCs w:val="28"/>
        </w:rPr>
        <w:t>200</w:t>
      </w:r>
      <w:r>
        <w:rPr>
          <w:sz w:val="28"/>
          <w:szCs w:val="28"/>
        </w:rPr>
        <w:t>9</w:t>
      </w:r>
      <w:r w:rsidRPr="003B7B76">
        <w:rPr>
          <w:sz w:val="28"/>
          <w:szCs w:val="28"/>
        </w:rPr>
        <w:t xml:space="preserve"> році.</w:t>
      </w:r>
    </w:p>
    <w:p w:rsidR="00633C6B" w:rsidRDefault="00633C6B" w:rsidP="00633C6B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A21D51">
        <w:rPr>
          <w:sz w:val="28"/>
          <w:szCs w:val="28"/>
        </w:rPr>
        <w:t>Починаючи з 2000 року Полтавщина демонструвала позитивну тенденцію в розвитку житлового будівництва.</w:t>
      </w:r>
      <w:r>
        <w:rPr>
          <w:sz w:val="28"/>
          <w:szCs w:val="28"/>
        </w:rPr>
        <w:t xml:space="preserve"> Й</w:t>
      </w:r>
      <w:r w:rsidRPr="00A21D51">
        <w:rPr>
          <w:sz w:val="28"/>
          <w:szCs w:val="28"/>
        </w:rPr>
        <w:t>ого обсяги в регіоні зростали.</w:t>
      </w:r>
      <w:r>
        <w:rPr>
          <w:sz w:val="28"/>
          <w:szCs w:val="28"/>
        </w:rPr>
        <w:t xml:space="preserve"> </w:t>
      </w:r>
      <w:r w:rsidRPr="00A21D51">
        <w:rPr>
          <w:sz w:val="28"/>
          <w:szCs w:val="28"/>
        </w:rPr>
        <w:t xml:space="preserve">Так, якщо </w:t>
      </w:r>
      <w:r>
        <w:rPr>
          <w:sz w:val="28"/>
          <w:szCs w:val="28"/>
        </w:rPr>
        <w:t>в</w:t>
      </w:r>
      <w:r w:rsidRPr="00A21D5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21D51">
        <w:rPr>
          <w:sz w:val="28"/>
          <w:szCs w:val="28"/>
        </w:rPr>
        <w:t>000 році було введено 169,1 тис. кв. метрів житла, то в 200</w:t>
      </w:r>
      <w:r>
        <w:rPr>
          <w:sz w:val="28"/>
          <w:szCs w:val="28"/>
        </w:rPr>
        <w:t>7</w:t>
      </w:r>
      <w:r w:rsidRPr="00A21D51">
        <w:rPr>
          <w:sz w:val="28"/>
          <w:szCs w:val="28"/>
        </w:rPr>
        <w:t xml:space="preserve"> році </w:t>
      </w:r>
      <w:r>
        <w:rPr>
          <w:sz w:val="28"/>
          <w:szCs w:val="28"/>
        </w:rPr>
        <w:t xml:space="preserve">вже </w:t>
      </w:r>
      <w:r w:rsidRPr="00A21D51">
        <w:rPr>
          <w:sz w:val="28"/>
          <w:szCs w:val="28"/>
        </w:rPr>
        <w:t>2</w:t>
      </w:r>
      <w:r>
        <w:rPr>
          <w:sz w:val="28"/>
          <w:szCs w:val="28"/>
        </w:rPr>
        <w:t>78</w:t>
      </w:r>
      <w:r w:rsidRPr="00A21D51">
        <w:rPr>
          <w:sz w:val="28"/>
          <w:szCs w:val="28"/>
        </w:rPr>
        <w:t>,1 тис. кв. метрів</w:t>
      </w:r>
      <w:r>
        <w:rPr>
          <w:sz w:val="28"/>
          <w:szCs w:val="28"/>
        </w:rPr>
        <w:t>.</w:t>
      </w:r>
    </w:p>
    <w:p w:rsidR="00633C6B" w:rsidRPr="00A21D51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 w:rsidRPr="00A21D51">
        <w:rPr>
          <w:sz w:val="28"/>
          <w:szCs w:val="28"/>
        </w:rPr>
        <w:tab/>
        <w:t>В той же час негативні чинники економічної кризи 2008 – 2009 років не обминули і цей сектор будівництва.</w:t>
      </w:r>
      <w:r>
        <w:rPr>
          <w:sz w:val="28"/>
          <w:szCs w:val="28"/>
        </w:rPr>
        <w:t xml:space="preserve"> В зазначений період спостерігається падіння обсягів введення в експлуатацію житла.</w:t>
      </w:r>
      <w:r w:rsidRPr="00A21D51">
        <w:rPr>
          <w:sz w:val="28"/>
          <w:szCs w:val="28"/>
        </w:rPr>
        <w:t xml:space="preserve">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</w:t>
      </w:r>
      <w:r w:rsidRPr="00A21D51">
        <w:rPr>
          <w:sz w:val="28"/>
          <w:szCs w:val="28"/>
        </w:rPr>
        <w:t>2009 р</w:t>
      </w:r>
      <w:r>
        <w:rPr>
          <w:sz w:val="28"/>
          <w:szCs w:val="28"/>
        </w:rPr>
        <w:t xml:space="preserve">ік забудовниками області за </w:t>
      </w:r>
      <w:r w:rsidRPr="00A21D51">
        <w:rPr>
          <w:sz w:val="28"/>
          <w:szCs w:val="28"/>
        </w:rPr>
        <w:t xml:space="preserve">рахунок усіх джерел фінансування </w:t>
      </w:r>
      <w:r>
        <w:rPr>
          <w:sz w:val="28"/>
          <w:szCs w:val="28"/>
        </w:rPr>
        <w:t xml:space="preserve">побудовано тільки 155,5 тис. кв. метрів загальної площі житла, що менше на 40,5 %, ніж за 2008 рік та </w:t>
      </w:r>
      <w:r w:rsidRPr="00A21D51">
        <w:rPr>
          <w:sz w:val="28"/>
          <w:szCs w:val="28"/>
        </w:rPr>
        <w:t xml:space="preserve">у </w:t>
      </w:r>
      <w:r>
        <w:rPr>
          <w:sz w:val="28"/>
          <w:szCs w:val="28"/>
        </w:rPr>
        <w:t>1,8</w:t>
      </w:r>
      <w:r w:rsidRPr="00A21D51">
        <w:rPr>
          <w:sz w:val="28"/>
          <w:szCs w:val="28"/>
        </w:rPr>
        <w:t xml:space="preserve"> </w:t>
      </w:r>
      <w:proofErr w:type="spellStart"/>
      <w:r w:rsidRPr="00A21D51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proofErr w:type="spellEnd"/>
      <w:r w:rsidRPr="00A21D51">
        <w:rPr>
          <w:sz w:val="28"/>
          <w:szCs w:val="28"/>
        </w:rPr>
        <w:t xml:space="preserve"> ніж за 200</w:t>
      </w:r>
      <w:r>
        <w:rPr>
          <w:sz w:val="28"/>
          <w:szCs w:val="28"/>
        </w:rPr>
        <w:t>7</w:t>
      </w:r>
      <w:r w:rsidRPr="00A21D51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ік.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 w:rsidRPr="00A21D51">
        <w:rPr>
          <w:sz w:val="28"/>
          <w:szCs w:val="28"/>
        </w:rPr>
        <w:tab/>
        <w:t xml:space="preserve">На скорочення житлового будівництва суттєво вплинуло зменшення </w:t>
      </w:r>
      <w:r>
        <w:rPr>
          <w:sz w:val="28"/>
          <w:szCs w:val="28"/>
        </w:rPr>
        <w:t xml:space="preserve">                обсягів </w:t>
      </w:r>
      <w:r w:rsidRPr="00A21D51">
        <w:rPr>
          <w:sz w:val="28"/>
          <w:szCs w:val="28"/>
        </w:rPr>
        <w:t xml:space="preserve">введеного в експлуатацію індивідуальними забудовниками житла, частка якого у загальних обсягах становила </w:t>
      </w:r>
      <w:r>
        <w:rPr>
          <w:sz w:val="28"/>
          <w:szCs w:val="28"/>
        </w:rPr>
        <w:t>тільки 37,8</w:t>
      </w:r>
      <w:r w:rsidRPr="00A21D51">
        <w:rPr>
          <w:sz w:val="28"/>
          <w:szCs w:val="28"/>
        </w:rPr>
        <w:t>% (за 200</w:t>
      </w:r>
      <w:r>
        <w:rPr>
          <w:sz w:val="28"/>
          <w:szCs w:val="28"/>
        </w:rPr>
        <w:t>8</w:t>
      </w:r>
      <w:r w:rsidRPr="00A21D51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A21D5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48,1 </w:t>
      </w:r>
      <w:r w:rsidRPr="00A21D51">
        <w:rPr>
          <w:sz w:val="28"/>
          <w:szCs w:val="28"/>
        </w:rPr>
        <w:t>%). В попередні роки цей показник складав до 50</w:t>
      </w:r>
      <w:r>
        <w:rPr>
          <w:sz w:val="28"/>
          <w:szCs w:val="28"/>
        </w:rPr>
        <w:t xml:space="preserve"> </w:t>
      </w:r>
      <w:r w:rsidRPr="00A21D51">
        <w:rPr>
          <w:sz w:val="28"/>
          <w:szCs w:val="28"/>
        </w:rPr>
        <w:t>% - 60</w:t>
      </w:r>
      <w:r>
        <w:rPr>
          <w:sz w:val="28"/>
          <w:szCs w:val="28"/>
        </w:rPr>
        <w:t xml:space="preserve"> </w:t>
      </w:r>
      <w:r w:rsidRPr="00A21D51">
        <w:rPr>
          <w:sz w:val="28"/>
          <w:szCs w:val="28"/>
        </w:rPr>
        <w:t>%</w:t>
      </w:r>
      <w:r>
        <w:rPr>
          <w:sz w:val="28"/>
          <w:szCs w:val="28"/>
        </w:rPr>
        <w:t xml:space="preserve">. А також - скорочення кредитування та низька платоспроможність населення при високій вартості 1 квадратного метра. Інвестиції у житлове будівництво за 2009 рік скоротилися на 57,8 %, порівняно з 2008 роком. Значно зменшилась їх частка у загальному обсязі інвестицій в основний капітал.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Досить незначною була </w:t>
      </w:r>
      <w:r w:rsidRPr="00CA3B9F">
        <w:rPr>
          <w:noProof/>
          <w:sz w:val="28"/>
          <w:szCs w:val="28"/>
        </w:rPr>
        <w:t xml:space="preserve">частка введеного в дію житла за рахунок коштів безпосередньо державного бюджету </w:t>
      </w:r>
      <w:r>
        <w:rPr>
          <w:noProof/>
          <w:sz w:val="28"/>
          <w:szCs w:val="28"/>
        </w:rPr>
        <w:t>– 0,9</w:t>
      </w:r>
      <w:r w:rsidRPr="00CA3B9F">
        <w:rPr>
          <w:noProof/>
          <w:sz w:val="28"/>
          <w:szCs w:val="28"/>
        </w:rPr>
        <w:t xml:space="preserve">% від загального обсягу, або </w:t>
      </w:r>
      <w:r>
        <w:rPr>
          <w:noProof/>
          <w:sz w:val="28"/>
          <w:szCs w:val="28"/>
        </w:rPr>
        <w:t xml:space="preserve">                  1,39 тис. </w:t>
      </w:r>
      <w:r w:rsidRPr="00CA3B9F">
        <w:rPr>
          <w:noProof/>
          <w:sz w:val="28"/>
          <w:szCs w:val="28"/>
        </w:rPr>
        <w:t>кв. метрів.</w:t>
      </w:r>
    </w:p>
    <w:p w:rsidR="00633C6B" w:rsidRDefault="00633C6B" w:rsidP="00633C6B">
      <w:pPr>
        <w:pStyle w:val="BodyText2"/>
        <w:tabs>
          <w:tab w:val="clear" w:pos="284"/>
          <w:tab w:val="left" w:pos="709"/>
        </w:tabs>
        <w:rPr>
          <w:szCs w:val="32"/>
        </w:rPr>
      </w:pPr>
      <w:r>
        <w:rPr>
          <w:szCs w:val="32"/>
        </w:rPr>
        <w:tab/>
        <w:t xml:space="preserve">При цьому слід зазначити, що </w:t>
      </w:r>
      <w:r w:rsidRPr="00E31BD7">
        <w:rPr>
          <w:szCs w:val="32"/>
        </w:rPr>
        <w:t xml:space="preserve">основні програми </w:t>
      </w:r>
      <w:r>
        <w:rPr>
          <w:szCs w:val="32"/>
        </w:rPr>
        <w:t>житлового</w:t>
      </w:r>
      <w:r w:rsidRPr="00E31BD7">
        <w:rPr>
          <w:szCs w:val="32"/>
        </w:rPr>
        <w:t xml:space="preserve"> будівництва </w:t>
      </w:r>
      <w:r>
        <w:rPr>
          <w:szCs w:val="32"/>
        </w:rPr>
        <w:t xml:space="preserve">із залученням бюджетних коштів також скорочувались або </w:t>
      </w:r>
      <w:r w:rsidRPr="00E31BD7">
        <w:rPr>
          <w:szCs w:val="32"/>
        </w:rPr>
        <w:t>згорта</w:t>
      </w:r>
      <w:r>
        <w:rPr>
          <w:szCs w:val="32"/>
        </w:rPr>
        <w:t>лись</w:t>
      </w:r>
      <w:r w:rsidRPr="00E31BD7">
        <w:rPr>
          <w:szCs w:val="32"/>
        </w:rPr>
        <w:t>.</w:t>
      </w:r>
    </w:p>
    <w:p w:rsidR="00633C6B" w:rsidRPr="0049220E" w:rsidRDefault="00633C6B" w:rsidP="00633C6B">
      <w:pPr>
        <w:pStyle w:val="BodyText2"/>
        <w:tabs>
          <w:tab w:val="clear" w:pos="284"/>
          <w:tab w:val="left" w:pos="709"/>
        </w:tabs>
        <w:rPr>
          <w:szCs w:val="32"/>
        </w:rPr>
      </w:pPr>
      <w:r>
        <w:rPr>
          <w:szCs w:val="32"/>
        </w:rPr>
        <w:lastRenderedPageBreak/>
        <w:tab/>
        <w:t>Найменші „</w:t>
      </w:r>
      <w:proofErr w:type="spellStart"/>
      <w:r>
        <w:rPr>
          <w:szCs w:val="32"/>
        </w:rPr>
        <w:t>втрати”</w:t>
      </w:r>
      <w:proofErr w:type="spellEnd"/>
      <w:r>
        <w:rPr>
          <w:szCs w:val="32"/>
        </w:rPr>
        <w:t xml:space="preserve"> в 2009 році порівняно з минулим періодом зазнала </w:t>
      </w:r>
      <w:r w:rsidRPr="0049220E">
        <w:rPr>
          <w:szCs w:val="32"/>
        </w:rPr>
        <w:t xml:space="preserve">Програма підтримки кредитування індивідуального житлового будівництва на селі „Власний </w:t>
      </w:r>
      <w:proofErr w:type="spellStart"/>
      <w:r w:rsidRPr="0049220E">
        <w:rPr>
          <w:szCs w:val="32"/>
        </w:rPr>
        <w:t>дім”</w:t>
      </w:r>
      <w:proofErr w:type="spellEnd"/>
      <w:r w:rsidRPr="0049220E">
        <w:rPr>
          <w:szCs w:val="32"/>
        </w:rPr>
        <w:t xml:space="preserve">. </w:t>
      </w:r>
      <w:r>
        <w:rPr>
          <w:szCs w:val="32"/>
        </w:rPr>
        <w:t>К</w:t>
      </w:r>
      <w:r w:rsidRPr="0049220E">
        <w:rPr>
          <w:szCs w:val="32"/>
        </w:rPr>
        <w:t xml:space="preserve">оштів </w:t>
      </w:r>
      <w:r>
        <w:rPr>
          <w:szCs w:val="32"/>
        </w:rPr>
        <w:t xml:space="preserve">з державного бюджету </w:t>
      </w:r>
      <w:r w:rsidRPr="0049220E">
        <w:rPr>
          <w:szCs w:val="32"/>
        </w:rPr>
        <w:t xml:space="preserve">на реалізацію цієї Програми за </w:t>
      </w:r>
      <w:r>
        <w:rPr>
          <w:szCs w:val="32"/>
        </w:rPr>
        <w:t xml:space="preserve">2009 рік </w:t>
      </w:r>
      <w:r w:rsidRPr="0049220E">
        <w:rPr>
          <w:szCs w:val="32"/>
        </w:rPr>
        <w:t xml:space="preserve">отримано на </w:t>
      </w:r>
      <w:r>
        <w:rPr>
          <w:szCs w:val="32"/>
        </w:rPr>
        <w:t>631</w:t>
      </w:r>
      <w:r w:rsidRPr="0049220E">
        <w:rPr>
          <w:szCs w:val="32"/>
        </w:rPr>
        <w:t xml:space="preserve"> тис. грн. менше</w:t>
      </w:r>
      <w:r>
        <w:rPr>
          <w:szCs w:val="32"/>
        </w:rPr>
        <w:t>,</w:t>
      </w:r>
      <w:r w:rsidRPr="0049220E">
        <w:rPr>
          <w:szCs w:val="32"/>
        </w:rPr>
        <w:t xml:space="preserve"> ніж у </w:t>
      </w:r>
      <w:r>
        <w:rPr>
          <w:szCs w:val="32"/>
        </w:rPr>
        <w:t xml:space="preserve">2008 </w:t>
      </w:r>
      <w:r w:rsidRPr="0049220E">
        <w:rPr>
          <w:szCs w:val="32"/>
        </w:rPr>
        <w:t>році та введено в дію                          7</w:t>
      </w:r>
      <w:r>
        <w:rPr>
          <w:szCs w:val="32"/>
        </w:rPr>
        <w:t>8</w:t>
      </w:r>
      <w:r w:rsidRPr="0049220E">
        <w:rPr>
          <w:szCs w:val="32"/>
        </w:rPr>
        <w:t xml:space="preserve"> будинків загальною площею 5,</w:t>
      </w:r>
      <w:r>
        <w:rPr>
          <w:szCs w:val="32"/>
        </w:rPr>
        <w:t>8</w:t>
      </w:r>
      <w:r w:rsidRPr="0049220E">
        <w:rPr>
          <w:szCs w:val="32"/>
        </w:rPr>
        <w:t xml:space="preserve"> тис. кв. метрів, що на </w:t>
      </w:r>
      <w:r>
        <w:rPr>
          <w:szCs w:val="32"/>
        </w:rPr>
        <w:t>5</w:t>
      </w:r>
      <w:r w:rsidRPr="0049220E">
        <w:rPr>
          <w:szCs w:val="32"/>
        </w:rPr>
        <w:t>00 кв. метрів менше</w:t>
      </w:r>
      <w:r>
        <w:rPr>
          <w:szCs w:val="32"/>
        </w:rPr>
        <w:t xml:space="preserve"> 2008 року.</w:t>
      </w:r>
    </w:p>
    <w:p w:rsidR="00633C6B" w:rsidRPr="0049220E" w:rsidRDefault="00633C6B" w:rsidP="00633C6B">
      <w:pPr>
        <w:pStyle w:val="BodyText2"/>
        <w:tabs>
          <w:tab w:val="clear" w:pos="284"/>
          <w:tab w:val="left" w:pos="709"/>
        </w:tabs>
      </w:pPr>
      <w:r>
        <w:tab/>
        <w:t>Значно</w:t>
      </w:r>
      <w:r w:rsidRPr="0049220E">
        <w:t xml:space="preserve"> гірша ситуація склалася на теренах молодіжн</w:t>
      </w:r>
      <w:r>
        <w:t>ого житлового будівництва.</w:t>
      </w:r>
    </w:p>
    <w:p w:rsidR="00633C6B" w:rsidRPr="0049220E" w:rsidRDefault="00633C6B" w:rsidP="00633C6B">
      <w:pPr>
        <w:tabs>
          <w:tab w:val="left" w:pos="741"/>
        </w:tabs>
        <w:jc w:val="both"/>
        <w:rPr>
          <w:noProof/>
          <w:sz w:val="28"/>
          <w:szCs w:val="28"/>
        </w:rPr>
      </w:pPr>
      <w:r w:rsidRPr="0049220E">
        <w:rPr>
          <w:sz w:val="28"/>
          <w:szCs w:val="28"/>
        </w:rPr>
        <w:tab/>
        <w:t xml:space="preserve">За 2009 рік на </w:t>
      </w:r>
      <w:r w:rsidRPr="00CF119A">
        <w:rPr>
          <w:noProof/>
          <w:sz w:val="28"/>
          <w:szCs w:val="28"/>
        </w:rPr>
        <w:t>кредитування молодим сім’ям і одиноким молодим громадянам для будівництва (реконструкції) та придбання житла залучено</w:t>
      </w:r>
      <w:r>
        <w:rPr>
          <w:noProof/>
          <w:sz w:val="28"/>
          <w:szCs w:val="28"/>
        </w:rPr>
        <w:t xml:space="preserve"> лише</w:t>
      </w:r>
      <w:r w:rsidRPr="00CF119A">
        <w:rPr>
          <w:noProof/>
          <w:sz w:val="28"/>
          <w:szCs w:val="28"/>
        </w:rPr>
        <w:t xml:space="preserve"> 2047,2 тис. грн., в тому числі з обласного бюджету – 1060 тис. грн., з інших місцевих бюджетів </w:t>
      </w:r>
      <w:r w:rsidRPr="0049220E">
        <w:rPr>
          <w:noProof/>
          <w:sz w:val="28"/>
          <w:szCs w:val="28"/>
        </w:rPr>
        <w:t xml:space="preserve">– 987,2 тис. грн. </w:t>
      </w:r>
      <w:r w:rsidRPr="0049220E">
        <w:rPr>
          <w:sz w:val="28"/>
          <w:szCs w:val="28"/>
        </w:rPr>
        <w:t xml:space="preserve">Кошти з державного бюджету взагалі на зазначені цілі не надходили. </w:t>
      </w:r>
      <w:r>
        <w:rPr>
          <w:sz w:val="28"/>
          <w:szCs w:val="28"/>
        </w:rPr>
        <w:t>Із залученням місцевих асигнувань п</w:t>
      </w:r>
      <w:r w:rsidRPr="0049220E">
        <w:rPr>
          <w:sz w:val="28"/>
          <w:szCs w:val="28"/>
        </w:rPr>
        <w:t>ридбано на вторинному ринку 6 квартир, в тому числі в м</w:t>
      </w:r>
      <w:r>
        <w:rPr>
          <w:sz w:val="28"/>
          <w:szCs w:val="28"/>
        </w:rPr>
        <w:t xml:space="preserve">істах </w:t>
      </w:r>
      <w:r w:rsidRPr="0049220E">
        <w:rPr>
          <w:sz w:val="28"/>
          <w:szCs w:val="28"/>
        </w:rPr>
        <w:t>Кременчуці – 4, Кобеляки – 1, Гадячі – 1 квартиру.</w:t>
      </w:r>
      <w:r>
        <w:rPr>
          <w:sz w:val="28"/>
          <w:szCs w:val="28"/>
        </w:rPr>
        <w:t xml:space="preserve"> Хоча в попередні роки молоді сім’ї в середньому отримували біля 60 квартир на рік. 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 w:rsidRPr="00C54E9E">
        <w:rPr>
          <w:sz w:val="28"/>
          <w:szCs w:val="28"/>
        </w:rPr>
        <w:tab/>
      </w:r>
      <w:r>
        <w:rPr>
          <w:sz w:val="28"/>
          <w:szCs w:val="28"/>
        </w:rPr>
        <w:t xml:space="preserve">У 2009 році не були передбачені видатки з державного бюджету </w:t>
      </w:r>
      <w:r w:rsidRPr="00C54E9E">
        <w:rPr>
          <w:sz w:val="28"/>
          <w:szCs w:val="28"/>
        </w:rPr>
        <w:t>на будівництво і придбання житла військовослужбовцям та особам рядового і начальницького складу, звільненим у запас або відставку за станом здоров’я, віком, вислугою років та у зв’язку із скороченням штатів, які перебувають на квартирному обліку за місцем проживання, членам сімей, з числа цих осіб, які загинули під час виконання ними службових обов’язків, а також учасникам бойових дій в Афганістані та воєнних конфліктів</w:t>
      </w:r>
      <w:r>
        <w:rPr>
          <w:sz w:val="28"/>
          <w:szCs w:val="28"/>
        </w:rPr>
        <w:t xml:space="preserve">. 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це разом узяте призвело до того, що скоротилось проти 2008 року житлове будівництво у 22 адміністративних одиницях області: найбільше - у місті Комсомольську (на 96,3 %), </w:t>
      </w:r>
      <w:proofErr w:type="spellStart"/>
      <w:r>
        <w:rPr>
          <w:sz w:val="28"/>
          <w:szCs w:val="28"/>
        </w:rPr>
        <w:t>Великобагачанському</w:t>
      </w:r>
      <w:proofErr w:type="spellEnd"/>
      <w:r>
        <w:rPr>
          <w:sz w:val="28"/>
          <w:szCs w:val="28"/>
        </w:rPr>
        <w:t xml:space="preserve"> (на 87,8 %), </w:t>
      </w:r>
      <w:proofErr w:type="spellStart"/>
      <w:r>
        <w:rPr>
          <w:sz w:val="28"/>
          <w:szCs w:val="28"/>
        </w:rPr>
        <w:t>Глобинському</w:t>
      </w:r>
      <w:proofErr w:type="spellEnd"/>
      <w:r>
        <w:rPr>
          <w:sz w:val="28"/>
          <w:szCs w:val="28"/>
        </w:rPr>
        <w:t xml:space="preserve"> (на 87,5 %), </w:t>
      </w:r>
      <w:proofErr w:type="spellStart"/>
      <w:r>
        <w:rPr>
          <w:sz w:val="28"/>
          <w:szCs w:val="28"/>
        </w:rPr>
        <w:t>Котелевському</w:t>
      </w:r>
      <w:proofErr w:type="spellEnd"/>
      <w:r>
        <w:rPr>
          <w:sz w:val="28"/>
          <w:szCs w:val="28"/>
        </w:rPr>
        <w:t xml:space="preserve"> (на 85,6 %), </w:t>
      </w:r>
      <w:proofErr w:type="spellStart"/>
      <w:r>
        <w:rPr>
          <w:sz w:val="28"/>
          <w:szCs w:val="28"/>
        </w:rPr>
        <w:t>Карлівському</w:t>
      </w:r>
      <w:proofErr w:type="spellEnd"/>
      <w:r>
        <w:rPr>
          <w:sz w:val="28"/>
          <w:szCs w:val="28"/>
        </w:rPr>
        <w:t xml:space="preserve">                        (на 84,4 %) районах, а у 2 – </w:t>
      </w:r>
      <w:proofErr w:type="spellStart"/>
      <w:r>
        <w:rPr>
          <w:sz w:val="28"/>
          <w:szCs w:val="28"/>
        </w:rPr>
        <w:t>Оржицькому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Семенівському</w:t>
      </w:r>
      <w:proofErr w:type="spellEnd"/>
      <w:r>
        <w:rPr>
          <w:sz w:val="28"/>
          <w:szCs w:val="28"/>
        </w:rPr>
        <w:t xml:space="preserve"> районах не було здано в експлуатацію жодного квадратного метра.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той же час </w:t>
      </w:r>
      <w:r w:rsidRPr="00DE78D0">
        <w:rPr>
          <w:sz w:val="28"/>
          <w:szCs w:val="28"/>
        </w:rPr>
        <w:t xml:space="preserve">кроком на шляху зменшення впливу кризових явищ на будівельну галузь в цілому та на будівництво житла </w:t>
      </w:r>
      <w:r>
        <w:rPr>
          <w:sz w:val="28"/>
          <w:szCs w:val="28"/>
        </w:rPr>
        <w:t xml:space="preserve">окремо було </w:t>
      </w:r>
      <w:r w:rsidRPr="00DE78D0">
        <w:rPr>
          <w:sz w:val="28"/>
          <w:szCs w:val="28"/>
        </w:rPr>
        <w:t>прийнят</w:t>
      </w:r>
      <w:r>
        <w:rPr>
          <w:sz w:val="28"/>
          <w:szCs w:val="28"/>
        </w:rPr>
        <w:t xml:space="preserve">тя </w:t>
      </w:r>
      <w:r w:rsidRPr="00DE78D0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DE78D0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від </w:t>
      </w:r>
      <w:r w:rsidRPr="00DE78D0">
        <w:rPr>
          <w:sz w:val="28"/>
          <w:szCs w:val="28"/>
        </w:rPr>
        <w:t xml:space="preserve">25 грудня 2008 року № 800-VІ „Про запобігання впливу світової фінансової кризи на розвиток будівельної галузі та житлового </w:t>
      </w:r>
      <w:proofErr w:type="spellStart"/>
      <w:r w:rsidRPr="00DE78D0">
        <w:rPr>
          <w:sz w:val="28"/>
          <w:szCs w:val="28"/>
        </w:rPr>
        <w:t>будівництва”</w:t>
      </w:r>
      <w:proofErr w:type="spellEnd"/>
      <w:r w:rsidRPr="00DE78D0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DE78D0">
        <w:rPr>
          <w:sz w:val="28"/>
          <w:szCs w:val="28"/>
        </w:rPr>
        <w:t xml:space="preserve"> низка інших урядових рішень.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Урядом було прийнято рішення про надання державної підтримки на добудову об’єктів незавершеного житлового будівництва зі ступенем будівельної готовності понад 70 % шляхом пільгового кредитування фізичних осіб.</w:t>
      </w:r>
    </w:p>
    <w:p w:rsidR="00633C6B" w:rsidRPr="00DE78D0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Pr="00DE78D0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E78D0">
        <w:rPr>
          <w:sz w:val="28"/>
          <w:szCs w:val="28"/>
        </w:rPr>
        <w:t xml:space="preserve">На впровадження </w:t>
      </w:r>
      <w:r>
        <w:rPr>
          <w:sz w:val="28"/>
          <w:szCs w:val="28"/>
        </w:rPr>
        <w:t xml:space="preserve">його </w:t>
      </w:r>
      <w:r w:rsidRPr="00DE78D0">
        <w:rPr>
          <w:sz w:val="28"/>
          <w:szCs w:val="28"/>
        </w:rPr>
        <w:t xml:space="preserve">в дію та </w:t>
      </w:r>
      <w:r>
        <w:rPr>
          <w:sz w:val="28"/>
          <w:szCs w:val="28"/>
        </w:rPr>
        <w:t xml:space="preserve">за поданням облдержадміністрації </w:t>
      </w:r>
      <w:r w:rsidRPr="00DE78D0">
        <w:rPr>
          <w:sz w:val="28"/>
          <w:szCs w:val="28"/>
        </w:rPr>
        <w:t xml:space="preserve">Полтавській області </w:t>
      </w:r>
      <w:r>
        <w:rPr>
          <w:sz w:val="28"/>
          <w:szCs w:val="28"/>
        </w:rPr>
        <w:t xml:space="preserve">в 2009 році було </w:t>
      </w:r>
      <w:r w:rsidRPr="00DE78D0">
        <w:rPr>
          <w:sz w:val="28"/>
          <w:szCs w:val="28"/>
        </w:rPr>
        <w:t>визначено 1</w:t>
      </w:r>
      <w:r>
        <w:rPr>
          <w:sz w:val="28"/>
          <w:szCs w:val="28"/>
        </w:rPr>
        <w:t>1</w:t>
      </w:r>
      <w:r w:rsidRPr="00DE78D0">
        <w:rPr>
          <w:sz w:val="28"/>
          <w:szCs w:val="28"/>
        </w:rPr>
        <w:t xml:space="preserve"> об’єктів житла, в яких Державна іпотечна установа придбава</w:t>
      </w:r>
      <w:r>
        <w:rPr>
          <w:sz w:val="28"/>
          <w:szCs w:val="28"/>
        </w:rPr>
        <w:t xml:space="preserve">ла </w:t>
      </w:r>
      <w:r w:rsidRPr="00DE78D0">
        <w:rPr>
          <w:sz w:val="28"/>
          <w:szCs w:val="28"/>
        </w:rPr>
        <w:t>квартири для забезпечення житлом громадян, що відповідно до законодавства потребу</w:t>
      </w:r>
      <w:r>
        <w:rPr>
          <w:sz w:val="28"/>
          <w:szCs w:val="28"/>
        </w:rPr>
        <w:t xml:space="preserve">вали </w:t>
      </w:r>
      <w:r w:rsidRPr="00DE78D0">
        <w:rPr>
          <w:sz w:val="28"/>
          <w:szCs w:val="28"/>
        </w:rPr>
        <w:t>поліпшення житлових умов.</w:t>
      </w:r>
    </w:p>
    <w:p w:rsidR="00633C6B" w:rsidRDefault="00633C6B" w:rsidP="00633C6B">
      <w:pPr>
        <w:tabs>
          <w:tab w:val="left" w:pos="702"/>
          <w:tab w:val="left" w:pos="4680"/>
        </w:tabs>
        <w:jc w:val="both"/>
        <w:rPr>
          <w:sz w:val="28"/>
          <w:szCs w:val="28"/>
        </w:rPr>
      </w:pPr>
      <w:r w:rsidRPr="00C2710F">
        <w:rPr>
          <w:sz w:val="28"/>
          <w:szCs w:val="28"/>
        </w:rPr>
        <w:tab/>
      </w:r>
      <w:r>
        <w:rPr>
          <w:sz w:val="28"/>
          <w:szCs w:val="28"/>
        </w:rPr>
        <w:t>Ці ж</w:t>
      </w:r>
      <w:r w:rsidRPr="00C2710F">
        <w:rPr>
          <w:sz w:val="28"/>
          <w:szCs w:val="28"/>
        </w:rPr>
        <w:t>итлові будинки розташов</w:t>
      </w:r>
      <w:r>
        <w:rPr>
          <w:sz w:val="28"/>
          <w:szCs w:val="28"/>
        </w:rPr>
        <w:t xml:space="preserve">увалися </w:t>
      </w:r>
      <w:r w:rsidRPr="00C2710F">
        <w:rPr>
          <w:sz w:val="28"/>
          <w:szCs w:val="28"/>
        </w:rPr>
        <w:t xml:space="preserve">в містах Полтаві, Кременчуці, Лубнах, Кобеляках, Пирятині та  </w:t>
      </w:r>
      <w:proofErr w:type="spellStart"/>
      <w:r w:rsidRPr="00C2710F">
        <w:rPr>
          <w:sz w:val="28"/>
          <w:szCs w:val="28"/>
        </w:rPr>
        <w:t>с</w:t>
      </w:r>
      <w:r>
        <w:rPr>
          <w:sz w:val="28"/>
          <w:szCs w:val="28"/>
        </w:rPr>
        <w:t>мт</w:t>
      </w:r>
      <w:proofErr w:type="spellEnd"/>
      <w:r>
        <w:rPr>
          <w:sz w:val="28"/>
          <w:szCs w:val="28"/>
        </w:rPr>
        <w:t xml:space="preserve"> </w:t>
      </w:r>
      <w:r w:rsidRPr="00C2710F">
        <w:rPr>
          <w:sz w:val="28"/>
          <w:szCs w:val="28"/>
        </w:rPr>
        <w:t>Нов</w:t>
      </w:r>
      <w:r>
        <w:rPr>
          <w:sz w:val="28"/>
          <w:szCs w:val="28"/>
        </w:rPr>
        <w:t>их</w:t>
      </w:r>
      <w:r w:rsidRPr="00C2710F">
        <w:rPr>
          <w:sz w:val="28"/>
          <w:szCs w:val="28"/>
        </w:rPr>
        <w:t xml:space="preserve"> Санжар</w:t>
      </w:r>
      <w:r>
        <w:rPr>
          <w:sz w:val="28"/>
          <w:szCs w:val="28"/>
        </w:rPr>
        <w:t>ах</w:t>
      </w:r>
      <w:r w:rsidRPr="00C271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2710F">
        <w:rPr>
          <w:sz w:val="28"/>
          <w:szCs w:val="28"/>
        </w:rPr>
        <w:t>Державн</w:t>
      </w:r>
      <w:r>
        <w:rPr>
          <w:sz w:val="28"/>
          <w:szCs w:val="28"/>
        </w:rPr>
        <w:t xml:space="preserve">ою </w:t>
      </w:r>
      <w:r w:rsidRPr="00C2710F">
        <w:rPr>
          <w:sz w:val="28"/>
          <w:szCs w:val="28"/>
        </w:rPr>
        <w:t>іпотечн</w:t>
      </w:r>
      <w:r>
        <w:rPr>
          <w:sz w:val="28"/>
          <w:szCs w:val="28"/>
        </w:rPr>
        <w:t>ою</w:t>
      </w:r>
      <w:r w:rsidRPr="00C2710F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ою придбано в них 191 квартиру. Місцевими органами самоврядування та державними органами, згідно з установленим законодавством порядком, здійснено видачу визначеним громадянам ордерів на жилі приміщення. </w:t>
      </w:r>
    </w:p>
    <w:p w:rsidR="00633C6B" w:rsidRPr="002607F8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Реалізовувався </w:t>
      </w:r>
      <w:r w:rsidRPr="001A7FA0">
        <w:rPr>
          <w:noProof/>
          <w:sz w:val="28"/>
          <w:szCs w:val="28"/>
        </w:rPr>
        <w:t xml:space="preserve">в життя Указ Президента України </w:t>
      </w:r>
      <w:r>
        <w:rPr>
          <w:noProof/>
          <w:sz w:val="28"/>
          <w:szCs w:val="28"/>
        </w:rPr>
        <w:t>„</w:t>
      </w:r>
      <w:r w:rsidRPr="001A7FA0">
        <w:rPr>
          <w:sz w:val="28"/>
          <w:szCs w:val="28"/>
        </w:rPr>
        <w:t xml:space="preserve">Про заходи щодо будівництва доступного житла в Україні та поліпшення забезпечення громадян </w:t>
      </w:r>
      <w:proofErr w:type="spellStart"/>
      <w:r w:rsidRPr="001A7FA0">
        <w:rPr>
          <w:sz w:val="28"/>
          <w:szCs w:val="28"/>
        </w:rPr>
        <w:t>житлом”</w:t>
      </w:r>
      <w:proofErr w:type="spellEnd"/>
      <w:r w:rsidRPr="001A7FA0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Полтаві, із залученням коштів місцевого бюджету, за 2008 - 2009 роки збудовано два житлових будинки за міською програмою „Доступне </w:t>
      </w:r>
      <w:proofErr w:type="spellStart"/>
      <w:r>
        <w:rPr>
          <w:sz w:val="28"/>
          <w:szCs w:val="28"/>
        </w:rPr>
        <w:t>житло”</w:t>
      </w:r>
      <w:proofErr w:type="spellEnd"/>
      <w:r>
        <w:rPr>
          <w:sz w:val="28"/>
          <w:szCs w:val="28"/>
        </w:rPr>
        <w:t xml:space="preserve">, в яких отримали квартири черговики, що перебували на квартирному обліку при виконавчому комітеті Полтавської міської ради.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Завдяки певній організаторській роботі місцевих органів влади та самоврядування, концентрації матеріальних ресурсів на пускових об’єктах, активній позиції будівельників, у 6 адміністративних одиницях області зросли обсяги введеного житла проти 2008 року, а саме: у містах Лубни (на 142,2 %) та Миргороді (на 31,8 %), Пирятинському (на 30,3 %), Лубенському (на 19,1 %), </w:t>
      </w:r>
      <w:proofErr w:type="spellStart"/>
      <w:r>
        <w:rPr>
          <w:sz w:val="28"/>
          <w:szCs w:val="28"/>
        </w:rPr>
        <w:t>Новосанжарському</w:t>
      </w:r>
      <w:proofErr w:type="spellEnd"/>
      <w:r>
        <w:rPr>
          <w:sz w:val="28"/>
          <w:szCs w:val="28"/>
        </w:rPr>
        <w:t xml:space="preserve"> (на 19 %) та Полтавському (на 10,8 %) районах.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Як і завжди, в останні роки активно розбудовувався обласний центр. Де в минулому році збудовано 62,4 тис. кв. метрів, або 40,2 % від загального обсягу.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  <w:t xml:space="preserve">Всі ці позитивні фактори дозволили Полтавщині за кількісними показниками будівництва житла у 2009 році закріпитися в першій половині серед регіонів України. </w:t>
      </w:r>
    </w:p>
    <w:p w:rsidR="00633C6B" w:rsidRPr="000E6940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 w:rsidRPr="000E6940">
        <w:rPr>
          <w:noProof/>
          <w:sz w:val="28"/>
          <w:szCs w:val="28"/>
        </w:rPr>
        <w:tab/>
        <w:t xml:space="preserve">Але житлова проблема </w:t>
      </w:r>
      <w:r w:rsidRPr="000E6940">
        <w:rPr>
          <w:sz w:val="28"/>
          <w:szCs w:val="28"/>
        </w:rPr>
        <w:t xml:space="preserve">залишається однією з найбільш актуальних в </w:t>
      </w:r>
      <w:r>
        <w:rPr>
          <w:sz w:val="28"/>
          <w:szCs w:val="28"/>
        </w:rPr>
        <w:t>області</w:t>
      </w:r>
      <w:r w:rsidRPr="000E6940">
        <w:rPr>
          <w:sz w:val="28"/>
          <w:szCs w:val="28"/>
        </w:rPr>
        <w:t xml:space="preserve">. Її актуальність пов’язана з наявністю значної кількості громадян, які потребують її вирішення та незначним державним фінансуванням цих заходів. Так на кінець 2009 року на квартирному обліку в області перебувало                  </w:t>
      </w:r>
      <w:r>
        <w:rPr>
          <w:sz w:val="28"/>
          <w:szCs w:val="28"/>
        </w:rPr>
        <w:t>25,8</w:t>
      </w:r>
      <w:r w:rsidRPr="000E6940">
        <w:rPr>
          <w:sz w:val="28"/>
          <w:szCs w:val="28"/>
        </w:rPr>
        <w:t xml:space="preserve"> тисяч сімей та одинаків. </w:t>
      </w:r>
      <w:r>
        <w:rPr>
          <w:sz w:val="28"/>
          <w:szCs w:val="28"/>
        </w:rPr>
        <w:t>В цілому черга за 2009 рік скоротилася на                   1,3 тис. черговиків, але з них лише 222 сім’ї – за рахунок отримання житла. Це становить 0,8 % до загальної кількості тих, хто перебував на квартирному обліку на кінець попереднього року.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</w:p>
    <w:p w:rsidR="00633C6B" w:rsidRPr="003B7B76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B7B76">
        <w:rPr>
          <w:sz w:val="28"/>
          <w:szCs w:val="28"/>
        </w:rPr>
        <w:t>Розділ ІІ. Напрями та показники розвитку житлового будівництва області на 20</w:t>
      </w:r>
      <w:r>
        <w:rPr>
          <w:sz w:val="28"/>
          <w:szCs w:val="28"/>
        </w:rPr>
        <w:t>10</w:t>
      </w:r>
      <w:r w:rsidRPr="003B7B76">
        <w:rPr>
          <w:sz w:val="28"/>
          <w:szCs w:val="28"/>
        </w:rPr>
        <w:t xml:space="preserve"> рік.</w:t>
      </w:r>
    </w:p>
    <w:p w:rsidR="00633C6B" w:rsidRDefault="00633C6B" w:rsidP="00633C6B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>
        <w:rPr>
          <w:noProof/>
          <w:sz w:val="28"/>
          <w:szCs w:val="28"/>
        </w:rPr>
        <w:t>Щорічно обласна державна адміністрація, керуючись вимогами чинного законодавства України, документами центральних органів державної влади, формує показники  щодо розвитку житлового будівництва в регіоні.</w:t>
      </w:r>
    </w:p>
    <w:p w:rsidR="00633C6B" w:rsidRDefault="00633C6B" w:rsidP="00633C6B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Зацікавлені державні структури, місцеві органи виконавчої влади та самоврядування, відповідно до повноважень, вносять пропозиції до формування цих показників, забезпечують освоєння виділених адміністративно-територіальним одиницям відповідних коштів та ведення моніторингу житлового будівництва. Співпрацюють з виконавцями окремих державних та обласних житлових програм, з зацікавленими фізичними та юридичними особами.</w:t>
      </w:r>
    </w:p>
    <w:p w:rsidR="00633C6B" w:rsidRDefault="00633C6B" w:rsidP="00633C6B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2109FB">
        <w:rPr>
          <w:noProof/>
          <w:sz w:val="28"/>
          <w:szCs w:val="28"/>
        </w:rPr>
        <w:t>Виконавц</w:t>
      </w:r>
      <w:r>
        <w:rPr>
          <w:noProof/>
          <w:sz w:val="28"/>
          <w:szCs w:val="28"/>
        </w:rPr>
        <w:t xml:space="preserve">ями </w:t>
      </w:r>
      <w:r w:rsidRPr="002109FB">
        <w:rPr>
          <w:noProof/>
          <w:sz w:val="28"/>
          <w:szCs w:val="28"/>
        </w:rPr>
        <w:t>та учасник</w:t>
      </w:r>
      <w:r>
        <w:rPr>
          <w:noProof/>
          <w:sz w:val="28"/>
          <w:szCs w:val="28"/>
        </w:rPr>
        <w:t>ами</w:t>
      </w:r>
      <w:r w:rsidRPr="002109F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розробки регіональних показників розвитку житлового будівництва на 2010 рік є Полтавська обласна державна адміністрація, органи місцевого самоврядування, місцеві органи виконавчої влади; підприємства, установи, організації, фізичні та юридичні особи, які приймають участь у будівництві житла.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Його фінансування в області передбачається за рахунок коштів інвесторів, власних коштів громадян, державного та місцевих бюджетів, інших джерел не заборонених законодавством. 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Прогнозні обсяги показників загальної площі житла, яке очікується побудувати у 2010 році, визначені на підставі узагальнених пропозицій, що надійшли від учасників розробки і складають  210 тис. кв. метрів при необхідних обсягах фінансування.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Pr="00FC6704">
        <w:rPr>
          <w:sz w:val="28"/>
          <w:szCs w:val="28"/>
        </w:rPr>
        <w:t xml:space="preserve">Із загального обсягу в містах передбачається спорудити </w:t>
      </w:r>
      <w:r>
        <w:rPr>
          <w:sz w:val="28"/>
          <w:szCs w:val="28"/>
        </w:rPr>
        <w:t xml:space="preserve">                                 168,5</w:t>
      </w:r>
      <w:r w:rsidRPr="00FC670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FC6704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FC6704">
        <w:rPr>
          <w:sz w:val="28"/>
          <w:szCs w:val="28"/>
        </w:rPr>
        <w:t xml:space="preserve">метрів, у сільській місцевості – </w:t>
      </w:r>
      <w:r>
        <w:rPr>
          <w:sz w:val="28"/>
          <w:szCs w:val="28"/>
        </w:rPr>
        <w:t>41,5</w:t>
      </w:r>
      <w:r w:rsidRPr="00FC670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FC6704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FC6704">
        <w:rPr>
          <w:sz w:val="28"/>
          <w:szCs w:val="28"/>
        </w:rPr>
        <w:t>метрів</w:t>
      </w:r>
      <w:r>
        <w:rPr>
          <w:sz w:val="28"/>
          <w:szCs w:val="28"/>
        </w:rPr>
        <w:t>, і</w:t>
      </w:r>
      <w:r w:rsidRPr="00FC6704">
        <w:rPr>
          <w:sz w:val="28"/>
          <w:szCs w:val="28"/>
        </w:rPr>
        <w:t xml:space="preserve">ндивідуальними забудовниками </w:t>
      </w:r>
      <w:r>
        <w:rPr>
          <w:sz w:val="28"/>
          <w:szCs w:val="28"/>
        </w:rPr>
        <w:t>- 75,1</w:t>
      </w:r>
      <w:r w:rsidRPr="00FC670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</w:t>
      </w:r>
      <w:r w:rsidRPr="00FC6704">
        <w:rPr>
          <w:sz w:val="28"/>
          <w:szCs w:val="28"/>
        </w:rPr>
        <w:t>кв. метрів житла</w:t>
      </w:r>
      <w:r>
        <w:rPr>
          <w:sz w:val="28"/>
          <w:szCs w:val="28"/>
        </w:rPr>
        <w:t>.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</w:rPr>
        <w:tab/>
        <w:t>Для здійснення будівництва таких обсягів житла необхідно залучити     852 млн. грн.</w:t>
      </w:r>
      <w:r>
        <w:rPr>
          <w:sz w:val="28"/>
          <w:szCs w:val="28"/>
        </w:rPr>
        <w:t xml:space="preserve"> і розподіляються вони за джерелами фінансування таким чином: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кошти державного бюджету – 2,8 млн. грн. ( 0,3 % до загального обсягу);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кошти місцевих бюджетів – 6,3 млн. грн.  ( 0,7 % );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власні кошти підприємств та організацій – 106,3 млн. грн. ( 12,5 % ); 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кредити банків та інших позик – 115,5 млн. грн. ( 13,6 % );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кошти населення на будівництво власних квартир – 396,1 млн. грн. ( 46,5 % );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кошти населення на індивідуальне житлове будівництво – 225 млн. грн.   ( 26,4 % ); </w:t>
      </w:r>
    </w:p>
    <w:p w:rsidR="00633C6B" w:rsidRDefault="00633C6B" w:rsidP="00633C6B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363B70">
        <w:rPr>
          <w:sz w:val="28"/>
          <w:szCs w:val="28"/>
        </w:rPr>
        <w:t xml:space="preserve">Щодо використання при будівництві житла бюджетних коштів, то </w:t>
      </w:r>
      <w:r>
        <w:rPr>
          <w:sz w:val="28"/>
          <w:szCs w:val="28"/>
        </w:rPr>
        <w:t xml:space="preserve">у               2010 році </w:t>
      </w:r>
      <w:r w:rsidRPr="00363B70">
        <w:rPr>
          <w:sz w:val="28"/>
          <w:szCs w:val="28"/>
        </w:rPr>
        <w:t>на Полтавщині продовж</w:t>
      </w:r>
      <w:r>
        <w:rPr>
          <w:sz w:val="28"/>
          <w:szCs w:val="28"/>
        </w:rPr>
        <w:t>и</w:t>
      </w:r>
      <w:r w:rsidRPr="00363B70">
        <w:rPr>
          <w:sz w:val="28"/>
          <w:szCs w:val="28"/>
        </w:rPr>
        <w:t xml:space="preserve">ться </w:t>
      </w:r>
      <w:r w:rsidRPr="00363B70">
        <w:rPr>
          <w:bCs/>
          <w:sz w:val="28"/>
          <w:szCs w:val="28"/>
        </w:rPr>
        <w:t>реалізація програм</w:t>
      </w:r>
      <w:r w:rsidRPr="00363B70">
        <w:rPr>
          <w:sz w:val="28"/>
          <w:szCs w:val="28"/>
        </w:rPr>
        <w:t xml:space="preserve"> підтримки будівництва житла для молодих сімей, сільських забудовників, військовослужбовців</w:t>
      </w:r>
      <w:r>
        <w:rPr>
          <w:sz w:val="28"/>
          <w:szCs w:val="28"/>
        </w:rPr>
        <w:t xml:space="preserve">, </w:t>
      </w:r>
      <w:r w:rsidRPr="00421187">
        <w:rPr>
          <w:color w:val="000000"/>
          <w:sz w:val="28"/>
          <w:szCs w:val="28"/>
        </w:rPr>
        <w:t>інших категорій громадян, які потребують захисту з боку держави.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 w:rsidRPr="00363B70">
        <w:tab/>
      </w:r>
      <w:r>
        <w:rPr>
          <w:sz w:val="28"/>
          <w:szCs w:val="28"/>
        </w:rPr>
        <w:t xml:space="preserve">На виконання Указу Президента України від 08.11.2007  № 1077/2007 „Про заходи щодо будівництва доступного житла в Україні та поліпшення забезпечення громадян </w:t>
      </w:r>
      <w:proofErr w:type="spellStart"/>
      <w:r>
        <w:rPr>
          <w:sz w:val="28"/>
          <w:szCs w:val="28"/>
        </w:rPr>
        <w:t>житлом”</w:t>
      </w:r>
      <w:proofErr w:type="spellEnd"/>
      <w:r>
        <w:rPr>
          <w:sz w:val="28"/>
          <w:szCs w:val="28"/>
        </w:rPr>
        <w:t xml:space="preserve"> та постанови Кабінету Міністрів України від 11.11.2009 № 1249 „Про затвердження Державної цільової соціально-економічної програми будівництва (придбання) доступного житла на 2010 – 2017 </w:t>
      </w:r>
      <w:proofErr w:type="spellStart"/>
      <w:r>
        <w:rPr>
          <w:sz w:val="28"/>
          <w:szCs w:val="28"/>
        </w:rPr>
        <w:t>роки”</w:t>
      </w:r>
      <w:proofErr w:type="spellEnd"/>
      <w:r>
        <w:rPr>
          <w:sz w:val="28"/>
          <w:szCs w:val="28"/>
        </w:rPr>
        <w:t xml:space="preserve"> в області і надалі буде продовжена робота щодо впровадження  цієї програми в життя. </w:t>
      </w: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</w:p>
    <w:p w:rsidR="00633C6B" w:rsidRPr="00AC1B29" w:rsidRDefault="00633C6B" w:rsidP="00633C6B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 w:rsidRPr="00AC1B29">
        <w:rPr>
          <w:sz w:val="28"/>
          <w:szCs w:val="28"/>
        </w:rPr>
        <w:tab/>
        <w:t>Згідно з рекомендаціями Мін</w:t>
      </w:r>
      <w:r>
        <w:rPr>
          <w:sz w:val="28"/>
          <w:szCs w:val="28"/>
        </w:rPr>
        <w:t xml:space="preserve">істерства регіонального розвитку та будівництва України </w:t>
      </w:r>
      <w:r w:rsidRPr="00AC1B29">
        <w:rPr>
          <w:sz w:val="28"/>
          <w:szCs w:val="28"/>
        </w:rPr>
        <w:t>на території області пров</w:t>
      </w:r>
      <w:r>
        <w:rPr>
          <w:sz w:val="28"/>
          <w:szCs w:val="28"/>
        </w:rPr>
        <w:t xml:space="preserve">одиться </w:t>
      </w:r>
      <w:r w:rsidRPr="00AC1B29">
        <w:rPr>
          <w:sz w:val="28"/>
          <w:szCs w:val="28"/>
        </w:rPr>
        <w:t>робота щодо</w:t>
      </w:r>
      <w:r>
        <w:rPr>
          <w:sz w:val="28"/>
          <w:szCs w:val="28"/>
        </w:rPr>
        <w:t xml:space="preserve"> виділення </w:t>
      </w:r>
      <w:r w:rsidRPr="00AC1B29">
        <w:rPr>
          <w:sz w:val="28"/>
          <w:szCs w:val="28"/>
        </w:rPr>
        <w:t>зон розміщення доступного житла та житла соціального призначення</w:t>
      </w:r>
      <w:r>
        <w:rPr>
          <w:sz w:val="28"/>
          <w:szCs w:val="28"/>
        </w:rPr>
        <w:t xml:space="preserve"> у містобудівній документації (генеральних планах, детального планування територій).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 w:rsidRPr="00AC1B29">
        <w:rPr>
          <w:sz w:val="28"/>
          <w:szCs w:val="28"/>
        </w:rPr>
        <w:tab/>
        <w:t>У містах та селищах області передбач</w:t>
      </w:r>
      <w:r>
        <w:rPr>
          <w:sz w:val="28"/>
          <w:szCs w:val="28"/>
        </w:rPr>
        <w:t xml:space="preserve">аються </w:t>
      </w:r>
      <w:r w:rsidRPr="00AC1B29">
        <w:rPr>
          <w:sz w:val="28"/>
          <w:szCs w:val="28"/>
        </w:rPr>
        <w:t xml:space="preserve">резервні земельні ділянки вільні від забудови, з існуючою інфраструктурою для розміщення та будівництва доступного житла. Розробка проектної документації виконується за кошти замовників з спорудження житлових будинків, які звільняються від залучення коштів на розвиток інженерно-транспортної та соціальної інфраструктури населених пунктів.  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Проведено моніторинг щодо наявності об’єктів незавершеного житлового будівництва в містах і районах області. Складено загальний реєстр з розподілом його за ступенями будівельної готовності. Всі ці матеріали використані при визначені показників розвитку житлового будівництва.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 w:rsidRPr="009C3397">
        <w:rPr>
          <w:sz w:val="28"/>
          <w:szCs w:val="28"/>
        </w:rPr>
        <w:tab/>
      </w:r>
      <w:r>
        <w:rPr>
          <w:sz w:val="28"/>
          <w:szCs w:val="28"/>
        </w:rPr>
        <w:t xml:space="preserve">  Для забезпечення виконання регіональних показників розвитку житлового будівництва в області, містах і районах на 2010 рік передбачається здійснити слідуючи основні заходи: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аналіз реальних джерел фінансування будівництва житла в містах і районах області з метою добудови об’єктів незавершених будівництвом та створення будівельного заділу</w:t>
      </w:r>
      <w:r>
        <w:rPr>
          <w:sz w:val="28"/>
          <w:szCs w:val="28"/>
        </w:rPr>
        <w:t xml:space="preserve"> на 2011 рік;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сприя</w:t>
      </w:r>
      <w:r>
        <w:rPr>
          <w:sz w:val="28"/>
          <w:szCs w:val="28"/>
        </w:rPr>
        <w:t>ння</w:t>
      </w:r>
      <w:r w:rsidRPr="004208FB">
        <w:rPr>
          <w:sz w:val="28"/>
          <w:szCs w:val="28"/>
        </w:rPr>
        <w:t xml:space="preserve"> продовженню дій державних програм забезпечення молоді житлом на 2002-2012 роки, індивідуальних сільських забудовників за програмою „Власний </w:t>
      </w:r>
      <w:proofErr w:type="spellStart"/>
      <w:r w:rsidRPr="004208FB">
        <w:rPr>
          <w:sz w:val="28"/>
          <w:szCs w:val="28"/>
        </w:rPr>
        <w:t>дім”</w:t>
      </w:r>
      <w:proofErr w:type="spellEnd"/>
      <w:r w:rsidRPr="004208FB">
        <w:rPr>
          <w:sz w:val="28"/>
          <w:szCs w:val="28"/>
        </w:rPr>
        <w:t xml:space="preserve"> та цільових програм забезпечення житлом окремих категорій громадян</w:t>
      </w:r>
      <w:r>
        <w:rPr>
          <w:sz w:val="28"/>
          <w:szCs w:val="28"/>
        </w:rPr>
        <w:t>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залучення коштів місцевих бюджетів на будівництво житла для громадян, що потребують поліпшення житлових умов відповідно до законодавства;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створ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сприятлив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умов з боку органів місцевого самоврядування щодо вирішення питань стосовно виділення земельних ділянок під забудову, </w:t>
      </w:r>
      <w:r>
        <w:rPr>
          <w:sz w:val="28"/>
          <w:szCs w:val="28"/>
        </w:rPr>
        <w:t xml:space="preserve">зменшення </w:t>
      </w:r>
      <w:r w:rsidRPr="004208FB">
        <w:rPr>
          <w:sz w:val="28"/>
          <w:szCs w:val="28"/>
        </w:rPr>
        <w:t xml:space="preserve">додаткових фінансових навантажень на забудовників, </w:t>
      </w:r>
      <w:r>
        <w:rPr>
          <w:sz w:val="28"/>
          <w:szCs w:val="28"/>
        </w:rPr>
        <w:t xml:space="preserve">скорочення </w:t>
      </w:r>
      <w:r w:rsidRPr="004208FB">
        <w:rPr>
          <w:sz w:val="28"/>
          <w:szCs w:val="28"/>
        </w:rPr>
        <w:t>погоджувальних процедур та інших вимог,  які насамперед впливають на варт</w:t>
      </w:r>
      <w:r>
        <w:rPr>
          <w:sz w:val="28"/>
          <w:szCs w:val="28"/>
        </w:rPr>
        <w:t xml:space="preserve">ість </w:t>
      </w:r>
      <w:r w:rsidRPr="004208FB">
        <w:rPr>
          <w:sz w:val="28"/>
          <w:szCs w:val="28"/>
        </w:rPr>
        <w:t>одного квадратного метра житла</w:t>
      </w:r>
      <w:r>
        <w:rPr>
          <w:sz w:val="28"/>
          <w:szCs w:val="28"/>
        </w:rPr>
        <w:t>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забезпеч</w:t>
      </w:r>
      <w:r>
        <w:rPr>
          <w:sz w:val="28"/>
          <w:szCs w:val="28"/>
        </w:rPr>
        <w:t xml:space="preserve">ення надання </w:t>
      </w:r>
      <w:r w:rsidRPr="004208FB">
        <w:rPr>
          <w:sz w:val="28"/>
          <w:szCs w:val="28"/>
        </w:rPr>
        <w:t>методологічн</w:t>
      </w:r>
      <w:r>
        <w:rPr>
          <w:sz w:val="28"/>
          <w:szCs w:val="28"/>
        </w:rPr>
        <w:t>ої</w:t>
      </w:r>
      <w:r w:rsidRPr="004208FB">
        <w:rPr>
          <w:sz w:val="28"/>
          <w:szCs w:val="28"/>
        </w:rPr>
        <w:t xml:space="preserve"> та організаційн</w:t>
      </w:r>
      <w:r>
        <w:rPr>
          <w:sz w:val="28"/>
          <w:szCs w:val="28"/>
        </w:rPr>
        <w:t>ої</w:t>
      </w:r>
      <w:r w:rsidRPr="004208FB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 xml:space="preserve">и замовникам з питань </w:t>
      </w:r>
      <w:r w:rsidRPr="004208FB">
        <w:rPr>
          <w:sz w:val="28"/>
          <w:szCs w:val="28"/>
        </w:rPr>
        <w:t>розроблення, погодження та затвердження містобудівної документації у порядку, передбаченому законодавством</w:t>
      </w:r>
      <w:r>
        <w:rPr>
          <w:sz w:val="28"/>
          <w:szCs w:val="28"/>
        </w:rPr>
        <w:t>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розробл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та оновл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регіональн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схем планування територій, генеральн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план</w:t>
      </w:r>
      <w:r>
        <w:rPr>
          <w:sz w:val="28"/>
          <w:szCs w:val="28"/>
        </w:rPr>
        <w:t>ів</w:t>
      </w:r>
      <w:r w:rsidRPr="004208FB">
        <w:rPr>
          <w:sz w:val="28"/>
          <w:szCs w:val="28"/>
        </w:rPr>
        <w:t xml:space="preserve"> населених пунктів як основи вдосконалення адміністративно-територіального устрою країни та встановлення меж населених пунктів</w:t>
      </w:r>
      <w:r>
        <w:rPr>
          <w:sz w:val="28"/>
          <w:szCs w:val="28"/>
        </w:rPr>
        <w:t>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нада</w:t>
      </w:r>
      <w:r>
        <w:rPr>
          <w:sz w:val="28"/>
          <w:szCs w:val="28"/>
        </w:rPr>
        <w:t xml:space="preserve">ння </w:t>
      </w:r>
      <w:r w:rsidRPr="004208FB">
        <w:rPr>
          <w:sz w:val="28"/>
          <w:szCs w:val="28"/>
        </w:rPr>
        <w:t>всебічн</w:t>
      </w:r>
      <w:r>
        <w:rPr>
          <w:sz w:val="28"/>
          <w:szCs w:val="28"/>
        </w:rPr>
        <w:t>ого</w:t>
      </w:r>
      <w:r w:rsidRPr="004208FB">
        <w:rPr>
          <w:sz w:val="28"/>
          <w:szCs w:val="28"/>
        </w:rPr>
        <w:t xml:space="preserve"> сприяння інвестиційно-будівельним підприємствам у питаннях завершення будівництва та введення в експлуатацію житлових об’єктів</w:t>
      </w:r>
      <w:r>
        <w:rPr>
          <w:sz w:val="28"/>
          <w:szCs w:val="28"/>
        </w:rPr>
        <w:t>;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впровадження в житлове будівництво </w:t>
      </w:r>
      <w:proofErr w:type="spellStart"/>
      <w:r>
        <w:rPr>
          <w:sz w:val="28"/>
          <w:szCs w:val="28"/>
        </w:rPr>
        <w:t>енергоєфективних</w:t>
      </w:r>
      <w:proofErr w:type="spellEnd"/>
      <w:r>
        <w:rPr>
          <w:sz w:val="28"/>
          <w:szCs w:val="28"/>
        </w:rPr>
        <w:t xml:space="preserve"> архітектурно-будівельних систем з метою здешевлення будівництва за рахунок уніфікації залізобетонних елементів, забезпечивши при цьому гнучкість планувальної системи будинків і формування архітектури та оздоблення фасадів, виходячи з вимог забудови; 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запровад</w:t>
      </w:r>
      <w:r>
        <w:rPr>
          <w:sz w:val="28"/>
          <w:szCs w:val="28"/>
        </w:rPr>
        <w:t xml:space="preserve">ження </w:t>
      </w:r>
      <w:r w:rsidRPr="004208FB">
        <w:rPr>
          <w:sz w:val="28"/>
          <w:szCs w:val="28"/>
        </w:rPr>
        <w:t>систем</w:t>
      </w:r>
      <w:r>
        <w:rPr>
          <w:sz w:val="28"/>
          <w:szCs w:val="28"/>
        </w:rPr>
        <w:t>и</w:t>
      </w:r>
      <w:r w:rsidRPr="004208FB">
        <w:rPr>
          <w:sz w:val="28"/>
          <w:szCs w:val="28"/>
        </w:rPr>
        <w:t xml:space="preserve"> моніторингу щодо стану </w:t>
      </w:r>
      <w:r>
        <w:rPr>
          <w:sz w:val="28"/>
          <w:szCs w:val="28"/>
        </w:rPr>
        <w:t xml:space="preserve">розвитку житлового будівництва та </w:t>
      </w:r>
      <w:r w:rsidRPr="004208FB">
        <w:rPr>
          <w:sz w:val="28"/>
          <w:szCs w:val="28"/>
        </w:rPr>
        <w:t>містобудівної документації в області</w:t>
      </w:r>
      <w:r>
        <w:rPr>
          <w:sz w:val="28"/>
          <w:szCs w:val="28"/>
        </w:rPr>
        <w:t>.</w:t>
      </w:r>
    </w:p>
    <w:p w:rsidR="00633C6B" w:rsidRDefault="00633C6B" w:rsidP="00633C6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Реалізація регіональних показників розвитку житлового будівництва на             2010 рік за фінансової підтримки з боку держави, залучення коштів обласного та місцевих бюджетів, інших джерел фінансування дасть можливість: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поліпшити житлові умови громадян, які тривалий час перебувають на квартирній черзі; </w:t>
      </w:r>
    </w:p>
    <w:p w:rsidR="00633C6B" w:rsidRDefault="00633C6B" w:rsidP="00633C6B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завершити будівництво житлових об’єктів, що припинено;</w:t>
      </w:r>
    </w:p>
    <w:p w:rsidR="00633C6B" w:rsidRDefault="00633C6B" w:rsidP="00633C6B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поширити досвід щодо будівництва (придбання) доступного житла;</w:t>
      </w:r>
    </w:p>
    <w:p w:rsidR="00633C6B" w:rsidRDefault="00633C6B" w:rsidP="00633C6B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зупинити у 2010 році негативні тенденції щодо скорочення будівництва житла та забезпечити нарощення темпів будівництва житла у наступні роки;</w:t>
      </w:r>
    </w:p>
    <w:p w:rsidR="00633C6B" w:rsidRDefault="00633C6B" w:rsidP="00633C6B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сприяти поліпшенню демографічної ситуації та закріпленню кадрів;</w:t>
      </w:r>
    </w:p>
    <w:p w:rsidR="00633C6B" w:rsidRDefault="00633C6B" w:rsidP="00633C6B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сприяти позитивним змінам у структурі жителів села за віком, фахом тощо. </w:t>
      </w:r>
    </w:p>
    <w:p w:rsidR="00633C6B" w:rsidRDefault="00633C6B" w:rsidP="00633C6B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Регіональні показники розвитку житлового будівництва на 2010 рік викладені в таблицях 1 – 7.</w:t>
      </w: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Заступник голови - </w:t>
      </w: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керівник апарату </w:t>
      </w: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>облдержадміністрації</w:t>
      </w:r>
      <w:r>
        <w:rPr>
          <w:sz w:val="28"/>
        </w:rPr>
        <w:tab/>
        <w:t>В.О.Пархоменко</w:t>
      </w:r>
      <w:r>
        <w:rPr>
          <w:sz w:val="28"/>
        </w:rPr>
        <w:tab/>
      </w:r>
    </w:p>
    <w:p w:rsidR="00633C6B" w:rsidRDefault="00633C6B" w:rsidP="00633C6B">
      <w:pPr>
        <w:tabs>
          <w:tab w:val="left" w:pos="567"/>
          <w:tab w:val="left" w:pos="6804"/>
        </w:tabs>
        <w:jc w:val="both"/>
        <w:rPr>
          <w:sz w:val="28"/>
        </w:rPr>
        <w:sectPr w:rsidR="00633C6B" w:rsidSect="00633C6B">
          <w:headerReference w:type="even" r:id="rId7"/>
          <w:headerReference w:type="default" r:id="rId8"/>
          <w:pgSz w:w="11907" w:h="16840" w:code="9"/>
          <w:pgMar w:top="1134" w:right="567" w:bottom="1134" w:left="1701" w:header="567" w:footer="567" w:gutter="0"/>
          <w:cols w:space="720"/>
          <w:titlePg/>
        </w:sectPr>
      </w:pP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Таблиця 1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житлового будівництва на 2010 рік</w:t>
      </w:r>
    </w:p>
    <w:p w:rsidR="00633C6B" w:rsidRDefault="00633C6B" w:rsidP="00633C6B">
      <w:pPr>
        <w:shd w:val="clear" w:color="auto" w:fill="FFFFFF"/>
        <w:tabs>
          <w:tab w:val="left" w:pos="10206"/>
        </w:tabs>
        <w:spacing w:after="187"/>
        <w:jc w:val="righ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633C6B" w:rsidRPr="006C1BBC" w:rsidRDefault="00633C6B" w:rsidP="00633C6B">
      <w:pPr>
        <w:shd w:val="clear" w:color="auto" w:fill="FFFFFF"/>
        <w:spacing w:before="5"/>
        <w:ind w:firstLine="720"/>
        <w:rPr>
          <w:bCs/>
          <w:color w:val="000000"/>
          <w:spacing w:val="-2"/>
          <w:sz w:val="28"/>
          <w:szCs w:val="28"/>
        </w:rPr>
      </w:pPr>
      <w:r w:rsidRPr="006C1BBC">
        <w:rPr>
          <w:bCs/>
          <w:color w:val="000000"/>
          <w:sz w:val="24"/>
          <w:szCs w:val="24"/>
        </w:rPr>
        <w:t xml:space="preserve">           </w:t>
      </w:r>
      <w:r w:rsidRPr="006C1BBC">
        <w:rPr>
          <w:bCs/>
          <w:color w:val="000000"/>
          <w:sz w:val="28"/>
          <w:szCs w:val="28"/>
        </w:rPr>
        <w:t xml:space="preserve">Дані про квартирний облік та надання житла населенню Полтавської області </w:t>
      </w:r>
      <w:r w:rsidRPr="006C1BBC">
        <w:rPr>
          <w:bCs/>
          <w:color w:val="000000"/>
          <w:spacing w:val="-2"/>
          <w:sz w:val="28"/>
          <w:szCs w:val="28"/>
        </w:rPr>
        <w:t>станом на 01.01.20</w:t>
      </w:r>
      <w:r>
        <w:rPr>
          <w:bCs/>
          <w:color w:val="000000"/>
          <w:spacing w:val="-2"/>
          <w:sz w:val="28"/>
          <w:szCs w:val="28"/>
        </w:rPr>
        <w:t>10</w:t>
      </w:r>
      <w:r w:rsidRPr="006C1BBC">
        <w:rPr>
          <w:bCs/>
          <w:color w:val="000000"/>
          <w:spacing w:val="-2"/>
          <w:sz w:val="28"/>
          <w:szCs w:val="28"/>
        </w:rPr>
        <w:t xml:space="preserve"> р.</w:t>
      </w:r>
    </w:p>
    <w:p w:rsidR="00633C6B" w:rsidRPr="006C1BBC" w:rsidRDefault="00633C6B" w:rsidP="00633C6B">
      <w:pPr>
        <w:shd w:val="clear" w:color="auto" w:fill="FFFFFF"/>
        <w:spacing w:before="5"/>
        <w:rPr>
          <w:sz w:val="28"/>
          <w:szCs w:val="28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387"/>
        <w:gridCol w:w="6095"/>
      </w:tblGrid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 сімей та одинаків, які перебували на квартирному обліку на кінець 2009 року</w:t>
            </w:r>
          </w:p>
        </w:tc>
        <w:tc>
          <w:tcPr>
            <w:tcW w:w="1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Pr="00471E86" w:rsidRDefault="00633C6B" w:rsidP="00633C6B">
            <w:pPr>
              <w:shd w:val="clear" w:color="auto" w:fill="FFFFFF"/>
              <w:ind w:left="34"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сімей та одинаків, які одержали житло та поліпшили свої житлові умови у 2009 році 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835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Кількість сімей та одинаків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ind w:left="136" w:right="15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% до кількості тих, що перебували у черзі на </w:t>
            </w:r>
            <w:r>
              <w:rPr>
                <w:color w:val="000000"/>
                <w:spacing w:val="-1"/>
                <w:sz w:val="28"/>
                <w:szCs w:val="28"/>
              </w:rPr>
              <w:t>кінець попереднього року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25788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</w:tr>
    </w:tbl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/>
          <w:bCs/>
          <w:color w:val="000000"/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/>
          <w:bCs/>
          <w:color w:val="000000"/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Cs/>
          <w:color w:val="000000"/>
          <w:sz w:val="28"/>
          <w:szCs w:val="28"/>
        </w:rPr>
        <w:t>Таблиця 2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житлового будівництва на 2010 рік</w:t>
      </w:r>
    </w:p>
    <w:p w:rsidR="00633C6B" w:rsidRDefault="00633C6B" w:rsidP="00633C6B">
      <w:pPr>
        <w:shd w:val="clear" w:color="auto" w:fill="FFFFFF"/>
        <w:tabs>
          <w:tab w:val="left" w:pos="10206"/>
        </w:tabs>
        <w:jc w:val="both"/>
        <w:rPr>
          <w:bCs/>
          <w:color w:val="000000"/>
          <w:sz w:val="28"/>
          <w:szCs w:val="28"/>
        </w:rPr>
      </w:pPr>
    </w:p>
    <w:p w:rsidR="00633C6B" w:rsidRPr="006C1BBC" w:rsidRDefault="00633C6B" w:rsidP="00633C6B">
      <w:pPr>
        <w:shd w:val="clear" w:color="auto" w:fill="FFFFFF"/>
        <w:tabs>
          <w:tab w:val="left" w:pos="709"/>
        </w:tabs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C1BBC">
        <w:rPr>
          <w:bCs/>
          <w:color w:val="000000"/>
          <w:sz w:val="28"/>
          <w:szCs w:val="28"/>
        </w:rPr>
        <w:t xml:space="preserve">    Регіональні показники обсягів введення в експлуатацію житла на 20</w:t>
      </w:r>
      <w:r>
        <w:rPr>
          <w:bCs/>
          <w:color w:val="000000"/>
          <w:sz w:val="28"/>
          <w:szCs w:val="28"/>
        </w:rPr>
        <w:t>10</w:t>
      </w:r>
      <w:r w:rsidRPr="006C1BBC">
        <w:rPr>
          <w:bCs/>
          <w:color w:val="000000"/>
          <w:sz w:val="28"/>
          <w:szCs w:val="28"/>
        </w:rPr>
        <w:t xml:space="preserve"> рік за джерелами фінансування</w:t>
      </w:r>
    </w:p>
    <w:p w:rsidR="00633C6B" w:rsidRDefault="00633C6B" w:rsidP="00633C6B">
      <w:pPr>
        <w:shd w:val="clear" w:color="auto" w:fill="FFFFFF"/>
        <w:ind w:left="240"/>
        <w:jc w:val="both"/>
        <w:rPr>
          <w:bCs/>
          <w:color w:val="000000"/>
          <w:sz w:val="28"/>
          <w:szCs w:val="28"/>
        </w:rPr>
      </w:pPr>
      <w:r w:rsidRPr="006C1BB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( тис. кв. метрів )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134"/>
        <w:gridCol w:w="1275"/>
        <w:gridCol w:w="993"/>
        <w:gridCol w:w="1275"/>
        <w:gridCol w:w="2168"/>
        <w:gridCol w:w="1801"/>
        <w:gridCol w:w="2410"/>
      </w:tblGrid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9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w w:val="109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6B" w:rsidRDefault="00633C6B" w:rsidP="00633C6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тому числі за рахунок коштів: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Державного бюджету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Місцевих бюджетів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Позабюджетних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на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іпотечне та</w:t>
            </w:r>
            <w:r>
              <w:rPr>
                <w:sz w:val="28"/>
                <w:szCs w:val="28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види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кредитування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Населення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Підприємств,</w:t>
            </w:r>
            <w:r>
              <w:rPr>
                <w:sz w:val="28"/>
                <w:szCs w:val="28"/>
              </w:rPr>
              <w:t xml:space="preserve"> установ та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організацій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т.ч.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т.ч.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кредиту-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кредиту-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4CC9">
              <w:rPr>
                <w:sz w:val="24"/>
                <w:szCs w:val="24"/>
              </w:rPr>
              <w:t>9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рік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Pr="00A84CC9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17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Питома вага до загального обсягу введення житла за рахунок усіх джерел фінансування,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до 2009 року,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130,4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</w:tbl>
    <w:p w:rsidR="00633C6B" w:rsidRDefault="00633C6B" w:rsidP="00633C6B">
      <w:pPr>
        <w:shd w:val="clear" w:color="auto" w:fill="FFFFFF"/>
        <w:tabs>
          <w:tab w:val="left" w:pos="9356"/>
        </w:tabs>
        <w:ind w:left="240"/>
        <w:jc w:val="both"/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color w:val="000000"/>
          <w:sz w:val="28"/>
          <w:szCs w:val="28"/>
        </w:rPr>
        <w:t>Таблиця 3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житлового будівництва на 2010 рік</w:t>
      </w:r>
    </w:p>
    <w:p w:rsidR="00633C6B" w:rsidRDefault="00633C6B" w:rsidP="00633C6B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</w:p>
    <w:p w:rsidR="00633C6B" w:rsidRPr="006C1BBC" w:rsidRDefault="00633C6B" w:rsidP="00633C6B">
      <w:pPr>
        <w:ind w:left="720" w:firstLine="720"/>
        <w:rPr>
          <w:bCs/>
          <w:color w:val="000000"/>
          <w:sz w:val="28"/>
          <w:szCs w:val="28"/>
        </w:rPr>
      </w:pPr>
      <w:r w:rsidRPr="006C1BBC">
        <w:rPr>
          <w:bCs/>
          <w:color w:val="000000"/>
          <w:sz w:val="28"/>
          <w:szCs w:val="28"/>
        </w:rPr>
        <w:t>Регіональні показники обсягів  введення в експлуатацію житла на 20</w:t>
      </w:r>
      <w:r>
        <w:rPr>
          <w:bCs/>
          <w:color w:val="000000"/>
          <w:sz w:val="28"/>
          <w:szCs w:val="28"/>
        </w:rPr>
        <w:t>10</w:t>
      </w:r>
      <w:r w:rsidRPr="006C1BBC">
        <w:rPr>
          <w:bCs/>
          <w:color w:val="000000"/>
          <w:sz w:val="28"/>
          <w:szCs w:val="28"/>
        </w:rPr>
        <w:t xml:space="preserve"> рік за характером будівництва</w:t>
      </w:r>
    </w:p>
    <w:p w:rsidR="00633C6B" w:rsidRDefault="00633C6B" w:rsidP="00633C6B">
      <w:pPr>
        <w:tabs>
          <w:tab w:val="left" w:pos="709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( тис. кв. метрів )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418"/>
        <w:gridCol w:w="2835"/>
        <w:gridCol w:w="1984"/>
        <w:gridCol w:w="1559"/>
        <w:gridCol w:w="2410"/>
      </w:tblGrid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pStyle w:val="Heading1"/>
              <w:jc w:val="center"/>
            </w:pPr>
            <w:r>
              <w:t>За характером будівництва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ind w:left="9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Нове будівництво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ind w:left="154" w:right="1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Розширення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ind w:left="154" w:right="15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Реконструкція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1840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ind w:left="154" w:right="15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тому числі завершення припинених будівництвом або законсервованих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 реконструкція перших масових серій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рік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 до 2009 року 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633C6B" w:rsidRDefault="00633C6B" w:rsidP="00633C6B">
      <w:pPr>
        <w:pStyle w:val="Heading2"/>
      </w:pPr>
      <w:r>
        <w:tab/>
        <w:t>Таблиця 4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tab/>
      </w:r>
      <w:r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633C6B" w:rsidRDefault="00633C6B" w:rsidP="00633C6B">
      <w:pPr>
        <w:pStyle w:val="Heading2"/>
      </w:pPr>
      <w:r>
        <w:rPr>
          <w:bCs/>
          <w:color w:val="000000"/>
        </w:rPr>
        <w:tab/>
        <w:t>житлового будівництва на 2010 рік</w:t>
      </w:r>
    </w:p>
    <w:p w:rsidR="00633C6B" w:rsidRDefault="00633C6B" w:rsidP="00633C6B"/>
    <w:p w:rsidR="00633C6B" w:rsidRDefault="00633C6B" w:rsidP="00633C6B"/>
    <w:p w:rsidR="00633C6B" w:rsidRDefault="00633C6B" w:rsidP="00633C6B"/>
    <w:p w:rsidR="00633C6B" w:rsidRPr="006C1BBC" w:rsidRDefault="00633C6B" w:rsidP="00633C6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6C1BBC">
        <w:rPr>
          <w:sz w:val="28"/>
          <w:szCs w:val="28"/>
        </w:rPr>
        <w:tab/>
        <w:t>Регіональні показники обсягів  введення в експлуатацію житла на 20</w:t>
      </w:r>
      <w:r>
        <w:rPr>
          <w:sz w:val="28"/>
          <w:szCs w:val="28"/>
        </w:rPr>
        <w:t>10</w:t>
      </w:r>
      <w:r w:rsidRPr="006C1BBC">
        <w:rPr>
          <w:sz w:val="28"/>
          <w:szCs w:val="28"/>
        </w:rPr>
        <w:t xml:space="preserve"> рік у містах та сільській місцевості</w:t>
      </w:r>
    </w:p>
    <w:p w:rsidR="00633C6B" w:rsidRPr="006C1BBC" w:rsidRDefault="00633C6B" w:rsidP="00633C6B">
      <w:pPr>
        <w:tabs>
          <w:tab w:val="left" w:pos="709"/>
        </w:tabs>
        <w:rPr>
          <w:sz w:val="28"/>
          <w:szCs w:val="28"/>
        </w:rPr>
      </w:pPr>
    </w:p>
    <w:p w:rsidR="00633C6B" w:rsidRDefault="00633C6B" w:rsidP="00633C6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тис. кв. метрів )</w:t>
      </w:r>
    </w:p>
    <w:tbl>
      <w:tblPr>
        <w:tblW w:w="15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4819"/>
        <w:gridCol w:w="4916"/>
      </w:tblGrid>
      <w:tr w:rsidR="00633C6B" w:rsidTr="00633C6B">
        <w:trPr>
          <w:cantSplit/>
          <w:trHeight w:val="518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тому числі:</w:t>
            </w:r>
          </w:p>
        </w:tc>
      </w:tr>
      <w:tr w:rsidR="00633C6B" w:rsidTr="00633C6B">
        <w:trPr>
          <w:cantSplit/>
          <w:trHeight w:val="547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містах</w:t>
            </w:r>
          </w:p>
        </w:tc>
        <w:tc>
          <w:tcPr>
            <w:tcW w:w="4916" w:type="dxa"/>
            <w:tcBorders>
              <w:top w:val="single" w:sz="4" w:space="0" w:color="auto"/>
            </w:tcBorders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сільській місцевості</w:t>
            </w:r>
          </w:p>
        </w:tc>
      </w:tr>
      <w:tr w:rsidR="00633C6B" w:rsidTr="00633C6B">
        <w:trPr>
          <w:trHeight w:val="443"/>
        </w:trPr>
        <w:tc>
          <w:tcPr>
            <w:tcW w:w="3402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2010 рік</w:t>
            </w:r>
          </w:p>
        </w:tc>
        <w:tc>
          <w:tcPr>
            <w:tcW w:w="2127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4819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168,5</w:t>
            </w:r>
          </w:p>
        </w:tc>
        <w:tc>
          <w:tcPr>
            <w:tcW w:w="4916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41,5</w:t>
            </w:r>
          </w:p>
        </w:tc>
      </w:tr>
      <w:tr w:rsidR="00633C6B" w:rsidTr="00633C6B">
        <w:trPr>
          <w:trHeight w:val="453"/>
        </w:trPr>
        <w:tc>
          <w:tcPr>
            <w:tcW w:w="3402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до 2009 року , %</w:t>
            </w:r>
          </w:p>
        </w:tc>
        <w:tc>
          <w:tcPr>
            <w:tcW w:w="2127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</w:t>
            </w:r>
          </w:p>
        </w:tc>
        <w:tc>
          <w:tcPr>
            <w:tcW w:w="4819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129,7</w:t>
            </w:r>
          </w:p>
        </w:tc>
        <w:tc>
          <w:tcPr>
            <w:tcW w:w="4916" w:type="dxa"/>
            <w:vAlign w:val="center"/>
          </w:tcPr>
          <w:p w:rsidR="00633C6B" w:rsidRDefault="00633C6B" w:rsidP="00633C6B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162,1</w:t>
            </w:r>
          </w:p>
        </w:tc>
      </w:tr>
    </w:tbl>
    <w:p w:rsidR="00633C6B" w:rsidRDefault="00633C6B" w:rsidP="00633C6B">
      <w:pPr>
        <w:shd w:val="clear" w:color="auto" w:fill="FFFFFF"/>
        <w:tabs>
          <w:tab w:val="left" w:pos="709"/>
        </w:tabs>
        <w:rPr>
          <w:sz w:val="28"/>
          <w:szCs w:val="28"/>
        </w:rPr>
      </w:pPr>
    </w:p>
    <w:p w:rsidR="00633C6B" w:rsidRDefault="00633C6B" w:rsidP="00633C6B">
      <w:pPr>
        <w:tabs>
          <w:tab w:val="left" w:pos="567"/>
          <w:tab w:val="left" w:pos="6804"/>
        </w:tabs>
        <w:jc w:val="both"/>
      </w:pPr>
      <w:r>
        <w:tab/>
      </w: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</w:p>
    <w:p w:rsidR="00633C6B" w:rsidRDefault="00633C6B" w:rsidP="00633C6B">
      <w:pPr>
        <w:shd w:val="clear" w:color="auto" w:fill="FFFFFF"/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Таблиця 5</w:t>
      </w:r>
    </w:p>
    <w:p w:rsidR="00633C6B" w:rsidRPr="00A23724" w:rsidRDefault="00633C6B" w:rsidP="00633C6B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Pr="00A23724"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 w:rsidRPr="00A23724">
        <w:rPr>
          <w:bCs/>
          <w:color w:val="000000"/>
          <w:sz w:val="28"/>
          <w:szCs w:val="28"/>
        </w:rPr>
        <w:tab/>
        <w:t>житлового будівництва на 20</w:t>
      </w:r>
      <w:r>
        <w:rPr>
          <w:bCs/>
          <w:color w:val="000000"/>
          <w:sz w:val="28"/>
          <w:szCs w:val="28"/>
        </w:rPr>
        <w:t>10</w:t>
      </w:r>
      <w:r w:rsidRPr="00A23724">
        <w:rPr>
          <w:bCs/>
          <w:color w:val="000000"/>
          <w:sz w:val="28"/>
          <w:szCs w:val="28"/>
        </w:rPr>
        <w:t xml:space="preserve"> рік</w:t>
      </w:r>
    </w:p>
    <w:p w:rsidR="00633C6B" w:rsidRPr="00A23724" w:rsidRDefault="00633C6B" w:rsidP="00633C6B">
      <w:pPr>
        <w:shd w:val="clear" w:color="auto" w:fill="FFFFFF"/>
        <w:tabs>
          <w:tab w:val="left" w:pos="9356"/>
        </w:tabs>
        <w:rPr>
          <w:sz w:val="28"/>
          <w:szCs w:val="28"/>
        </w:rPr>
      </w:pPr>
    </w:p>
    <w:p w:rsidR="00633C6B" w:rsidRPr="006C1BBC" w:rsidRDefault="00633C6B" w:rsidP="00633C6B">
      <w:pPr>
        <w:shd w:val="clear" w:color="auto" w:fill="FFFFFF"/>
        <w:tabs>
          <w:tab w:val="left" w:pos="10773"/>
        </w:tabs>
        <w:jc w:val="center"/>
        <w:rPr>
          <w:sz w:val="28"/>
          <w:szCs w:val="28"/>
        </w:rPr>
      </w:pPr>
      <w:r w:rsidRPr="006C1BBC">
        <w:rPr>
          <w:sz w:val="28"/>
          <w:szCs w:val="28"/>
        </w:rPr>
        <w:t>Регіональні показники обсягів введення в експлуатацію житла на 20</w:t>
      </w:r>
      <w:r>
        <w:rPr>
          <w:sz w:val="28"/>
          <w:szCs w:val="28"/>
        </w:rPr>
        <w:t>10</w:t>
      </w:r>
      <w:r w:rsidRPr="006C1BBC">
        <w:rPr>
          <w:sz w:val="28"/>
          <w:szCs w:val="28"/>
        </w:rPr>
        <w:t xml:space="preserve"> рік</w:t>
      </w:r>
    </w:p>
    <w:p w:rsidR="00633C6B" w:rsidRPr="006C1BBC" w:rsidRDefault="00633C6B" w:rsidP="00633C6B">
      <w:pPr>
        <w:shd w:val="clear" w:color="auto" w:fill="FFFFFF"/>
        <w:tabs>
          <w:tab w:val="left" w:pos="10773"/>
        </w:tabs>
        <w:jc w:val="center"/>
        <w:rPr>
          <w:sz w:val="28"/>
          <w:szCs w:val="28"/>
        </w:rPr>
      </w:pPr>
      <w:r w:rsidRPr="006C1BBC">
        <w:rPr>
          <w:sz w:val="28"/>
          <w:szCs w:val="28"/>
        </w:rPr>
        <w:t>за спеціальними державними житловими програмами (за рахунок усіх джерел фінансування)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425"/>
        <w:gridCol w:w="425"/>
        <w:gridCol w:w="567"/>
        <w:gridCol w:w="567"/>
        <w:gridCol w:w="567"/>
        <w:gridCol w:w="567"/>
        <w:gridCol w:w="553"/>
        <w:gridCol w:w="567"/>
        <w:gridCol w:w="440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567"/>
        <w:gridCol w:w="426"/>
        <w:gridCol w:w="567"/>
        <w:gridCol w:w="567"/>
        <w:gridCol w:w="425"/>
      </w:tblGrid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2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Всього за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програ-мами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Pr="006C1BBC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C1BBC">
              <w:rPr>
                <w:sz w:val="22"/>
                <w:szCs w:val="22"/>
              </w:rPr>
              <w:t>тис. кв. метрів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3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тому числі </w:t>
            </w:r>
            <w:r w:rsidRPr="00792AA0">
              <w:rPr>
                <w:color w:val="000000"/>
                <w:sz w:val="22"/>
                <w:szCs w:val="22"/>
              </w:rPr>
              <w:t>(тис. кв. метрів)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8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 програма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забезпечення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ind w:right="13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житлом </w:t>
            </w:r>
            <w:proofErr w:type="spellStart"/>
            <w:r>
              <w:rPr>
                <w:color w:val="000000"/>
                <w:sz w:val="22"/>
                <w:szCs w:val="22"/>
              </w:rPr>
              <w:t>військово-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службовців та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членів їх сімей (постанова КМУ від 29.11.1999 №2166)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15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Програма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забезпечен-ня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житлом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військово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службовців,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ind w:right="17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звільнених у запас або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відставку (постанова КМУ від 29.01.1999             № 114)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1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Державна програма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забезпечення молоді житлом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Регіональна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програма </w:t>
            </w:r>
            <w:proofErr w:type="spellStart"/>
            <w:r>
              <w:rPr>
                <w:color w:val="000000"/>
                <w:sz w:val="22"/>
                <w:szCs w:val="22"/>
              </w:rPr>
              <w:t>індивідуаль-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житлово-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будівництва у сільській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місцевості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 програмою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"Власний дім")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Забезпечення житлом громадян, що постраждали внаслідок </w:t>
            </w:r>
            <w:proofErr w:type="spellStart"/>
            <w:r>
              <w:rPr>
                <w:color w:val="000000"/>
                <w:sz w:val="22"/>
                <w:szCs w:val="22"/>
              </w:rPr>
              <w:t>Чорнобиль-ської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катастрофи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доступного житла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ind w:right="10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Будів</w:t>
            </w:r>
            <w:r>
              <w:rPr>
                <w:color w:val="000000"/>
                <w:sz w:val="22"/>
                <w:szCs w:val="22"/>
              </w:rPr>
              <w:softHyphen/>
              <w:t>ництво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ind w:right="139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соціального житла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Створення фондів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житла для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ind w:right="3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тимчасо</w:t>
            </w:r>
            <w:r>
              <w:rPr>
                <w:color w:val="000000"/>
                <w:sz w:val="22"/>
                <w:szCs w:val="22"/>
              </w:rPr>
              <w:softHyphen/>
              <w:t>вого</w:t>
            </w:r>
            <w:r>
              <w:rPr>
                <w:sz w:val="22"/>
                <w:szCs w:val="22"/>
              </w:rPr>
              <w:t xml:space="preserve">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проживання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Створення маневреного житлового фонду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33C6B" w:rsidRPr="00C27585" w:rsidRDefault="00633C6B" w:rsidP="00633C6B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2010 р.       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20,7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8,6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2752D">
              <w:rPr>
                <w:sz w:val="22"/>
                <w:szCs w:val="22"/>
              </w:rPr>
              <w:t>Будівницт</w:t>
            </w:r>
            <w:r>
              <w:rPr>
                <w:sz w:val="22"/>
                <w:szCs w:val="22"/>
              </w:rPr>
              <w:t xml:space="preserve">во, </w:t>
            </w:r>
            <w:proofErr w:type="spellStart"/>
            <w:r>
              <w:rPr>
                <w:sz w:val="22"/>
                <w:szCs w:val="22"/>
              </w:rPr>
              <w:t>рекон-струкція</w:t>
            </w:r>
            <w:proofErr w:type="spellEnd"/>
          </w:p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11,1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1,4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Pr="00DB23D8" w:rsidRDefault="00633C6B" w:rsidP="00633C6B">
            <w:pPr>
              <w:shd w:val="clear" w:color="auto" w:fill="FFFFFF"/>
              <w:jc w:val="center"/>
              <w:rPr>
                <w:spacing w:val="-20"/>
                <w:sz w:val="22"/>
                <w:szCs w:val="22"/>
              </w:rPr>
            </w:pPr>
            <w:r w:rsidRPr="00DB23D8">
              <w:rPr>
                <w:spacing w:val="-20"/>
                <w:sz w:val="22"/>
                <w:szCs w:val="22"/>
              </w:rPr>
              <w:t xml:space="preserve">Придбання на </w:t>
            </w:r>
            <w:proofErr w:type="spellStart"/>
            <w:r w:rsidRPr="00DB23D8">
              <w:rPr>
                <w:spacing w:val="-20"/>
                <w:sz w:val="22"/>
                <w:szCs w:val="22"/>
              </w:rPr>
              <w:t>вторин-ному</w:t>
            </w:r>
            <w:proofErr w:type="spellEnd"/>
            <w:r>
              <w:rPr>
                <w:spacing w:val="-20"/>
                <w:sz w:val="22"/>
                <w:szCs w:val="22"/>
              </w:rPr>
              <w:t xml:space="preserve"> </w:t>
            </w:r>
            <w:r w:rsidRPr="00DB23D8">
              <w:rPr>
                <w:spacing w:val="-20"/>
                <w:sz w:val="22"/>
                <w:szCs w:val="22"/>
              </w:rPr>
              <w:t xml:space="preserve"> ринку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9,6</w:t>
            </w:r>
          </w:p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до         2009 р., %</w:t>
            </w:r>
          </w:p>
          <w:p w:rsidR="00633C6B" w:rsidRDefault="00633C6B" w:rsidP="00633C6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81,2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242,3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  <w:r>
              <w:t>168,3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33C6B" w:rsidRDefault="00633C6B" w:rsidP="00633C6B">
            <w:pPr>
              <w:shd w:val="clear" w:color="auto" w:fill="FFFFFF"/>
              <w:ind w:left="113" w:right="113"/>
              <w:jc w:val="center"/>
            </w:pPr>
          </w:p>
        </w:tc>
      </w:tr>
    </w:tbl>
    <w:p w:rsidR="00633C6B" w:rsidRDefault="00633C6B" w:rsidP="00633C6B">
      <w:pPr>
        <w:shd w:val="clear" w:color="auto" w:fill="FFFFFF"/>
        <w:tabs>
          <w:tab w:val="left" w:pos="8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B23D8">
        <w:rPr>
          <w:sz w:val="24"/>
          <w:szCs w:val="24"/>
        </w:rPr>
        <w:t xml:space="preserve"> </w:t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Таблиця 6</w:t>
      </w:r>
    </w:p>
    <w:p w:rsidR="00633C6B" w:rsidRPr="00A23724" w:rsidRDefault="00633C6B" w:rsidP="00633C6B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3724"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 w:rsidRPr="00A23724">
        <w:rPr>
          <w:bCs/>
          <w:color w:val="000000"/>
          <w:sz w:val="28"/>
          <w:szCs w:val="28"/>
        </w:rPr>
        <w:tab/>
        <w:t>житлового будівництва на 20</w:t>
      </w:r>
      <w:r>
        <w:rPr>
          <w:bCs/>
          <w:color w:val="000000"/>
          <w:sz w:val="28"/>
          <w:szCs w:val="28"/>
        </w:rPr>
        <w:t>10</w:t>
      </w:r>
      <w:r w:rsidRPr="00A23724">
        <w:rPr>
          <w:bCs/>
          <w:color w:val="000000"/>
          <w:sz w:val="28"/>
          <w:szCs w:val="28"/>
        </w:rPr>
        <w:t xml:space="preserve"> рік</w:t>
      </w:r>
    </w:p>
    <w:p w:rsidR="00633C6B" w:rsidRDefault="00633C6B" w:rsidP="00633C6B">
      <w:pPr>
        <w:shd w:val="clear" w:color="auto" w:fill="FFFFFF"/>
        <w:tabs>
          <w:tab w:val="left" w:pos="880"/>
          <w:tab w:val="left" w:pos="9356"/>
        </w:tabs>
        <w:rPr>
          <w:sz w:val="28"/>
          <w:szCs w:val="28"/>
        </w:rPr>
      </w:pPr>
    </w:p>
    <w:p w:rsidR="00633C6B" w:rsidRPr="00792AA0" w:rsidRDefault="00633C6B" w:rsidP="00633C6B">
      <w:pPr>
        <w:shd w:val="clear" w:color="auto" w:fill="FFFFFF"/>
        <w:tabs>
          <w:tab w:val="left" w:pos="880"/>
        </w:tabs>
        <w:jc w:val="center"/>
        <w:rPr>
          <w:sz w:val="28"/>
          <w:szCs w:val="28"/>
        </w:rPr>
      </w:pPr>
      <w:r w:rsidRPr="00792AA0">
        <w:rPr>
          <w:sz w:val="28"/>
          <w:szCs w:val="28"/>
        </w:rPr>
        <w:t>Інформація</w:t>
      </w:r>
    </w:p>
    <w:p w:rsidR="00633C6B" w:rsidRPr="00792AA0" w:rsidRDefault="00633C6B" w:rsidP="00633C6B">
      <w:pPr>
        <w:shd w:val="clear" w:color="auto" w:fill="FFFFFF"/>
        <w:tabs>
          <w:tab w:val="left" w:pos="880"/>
        </w:tabs>
        <w:jc w:val="center"/>
        <w:rPr>
          <w:sz w:val="28"/>
          <w:szCs w:val="28"/>
        </w:rPr>
      </w:pPr>
      <w:r w:rsidRPr="00792AA0">
        <w:rPr>
          <w:sz w:val="28"/>
          <w:szCs w:val="28"/>
        </w:rPr>
        <w:t>щодо діючих у 20</w:t>
      </w:r>
      <w:r>
        <w:rPr>
          <w:sz w:val="28"/>
          <w:szCs w:val="28"/>
        </w:rPr>
        <w:t>10</w:t>
      </w:r>
      <w:r w:rsidRPr="00792AA0">
        <w:rPr>
          <w:sz w:val="28"/>
          <w:szCs w:val="28"/>
        </w:rPr>
        <w:t xml:space="preserve"> році спеціальних регіональних житлових програм</w:t>
      </w:r>
    </w:p>
    <w:p w:rsidR="00633C6B" w:rsidRPr="00792AA0" w:rsidRDefault="00633C6B" w:rsidP="00633C6B">
      <w:pPr>
        <w:shd w:val="clear" w:color="auto" w:fill="FFFFFF"/>
        <w:tabs>
          <w:tab w:val="left" w:pos="880"/>
        </w:tabs>
        <w:jc w:val="center"/>
        <w:rPr>
          <w:sz w:val="28"/>
          <w:szCs w:val="28"/>
        </w:rPr>
      </w:pPr>
      <w:r w:rsidRPr="00792AA0">
        <w:rPr>
          <w:sz w:val="28"/>
          <w:szCs w:val="28"/>
        </w:rPr>
        <w:t>в Полтавській області</w:t>
      </w:r>
    </w:p>
    <w:tbl>
      <w:tblPr>
        <w:tblStyle w:val="TableGrid"/>
        <w:tblW w:w="15984" w:type="dxa"/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087"/>
        <w:gridCol w:w="992"/>
        <w:gridCol w:w="1134"/>
        <w:gridCol w:w="1134"/>
        <w:gridCol w:w="48"/>
        <w:gridCol w:w="1086"/>
        <w:gridCol w:w="1276"/>
        <w:gridCol w:w="1181"/>
        <w:gridCol w:w="1370"/>
        <w:gridCol w:w="1276"/>
        <w:gridCol w:w="1276"/>
        <w:gridCol w:w="36"/>
        <w:gridCol w:w="11"/>
        <w:gridCol w:w="1134"/>
      </w:tblGrid>
      <w:tr w:rsidR="00633C6B" w:rsidTr="00633C6B">
        <w:tc>
          <w:tcPr>
            <w:tcW w:w="675" w:type="dxa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програми</w:t>
            </w:r>
          </w:p>
        </w:tc>
        <w:tc>
          <w:tcPr>
            <w:tcW w:w="1087" w:type="dxa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та рішення про </w:t>
            </w:r>
            <w:proofErr w:type="spellStart"/>
            <w:r>
              <w:rPr>
                <w:sz w:val="24"/>
                <w:szCs w:val="24"/>
              </w:rPr>
              <w:t>затверд-ження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програ-ми</w:t>
            </w:r>
            <w:proofErr w:type="spellEnd"/>
          </w:p>
        </w:tc>
        <w:tc>
          <w:tcPr>
            <w:tcW w:w="992" w:type="dxa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дії програми</w:t>
            </w:r>
          </w:p>
        </w:tc>
        <w:tc>
          <w:tcPr>
            <w:tcW w:w="1134" w:type="dxa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Планові обсяги фінансування на період дії </w:t>
            </w:r>
            <w:proofErr w:type="spellStart"/>
            <w:r>
              <w:rPr>
                <w:sz w:val="24"/>
                <w:szCs w:val="24"/>
              </w:rPr>
              <w:t>прог-рами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3C4058">
              <w:rPr>
                <w:sz w:val="24"/>
                <w:szCs w:val="24"/>
                <w:u w:val="single"/>
              </w:rPr>
              <w:t>тис.кв</w:t>
            </w:r>
            <w:r w:rsidRPr="00991842">
              <w:rPr>
                <w:sz w:val="24"/>
                <w:szCs w:val="24"/>
                <w:u w:val="single"/>
              </w:rPr>
              <w:t>.м</w:t>
            </w:r>
            <w:proofErr w:type="spellEnd"/>
            <w:r w:rsidRPr="00991842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725" w:type="dxa"/>
            <w:gridSpan w:val="5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програми по роках (за період дії програми)</w:t>
            </w:r>
          </w:p>
        </w:tc>
        <w:tc>
          <w:tcPr>
            <w:tcW w:w="2646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Планові показники</w:t>
            </w:r>
          </w:p>
        </w:tc>
        <w:tc>
          <w:tcPr>
            <w:tcW w:w="2457" w:type="dxa"/>
            <w:gridSpan w:val="4"/>
            <w:vMerge w:val="restart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дії програми</w:t>
            </w:r>
          </w:p>
        </w:tc>
      </w:tr>
      <w:tr w:rsidR="00633C6B" w:rsidTr="00633C6B">
        <w:tc>
          <w:tcPr>
            <w:tcW w:w="675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200…-2008</w:t>
            </w:r>
          </w:p>
        </w:tc>
        <w:tc>
          <w:tcPr>
            <w:tcW w:w="2457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646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457" w:type="dxa"/>
            <w:gridSpan w:val="4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</w:tr>
      <w:tr w:rsidR="00633C6B" w:rsidTr="00633C6B">
        <w:tc>
          <w:tcPr>
            <w:tcW w:w="675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Отримання житла, </w:t>
            </w: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Отрима-ння</w:t>
            </w:r>
            <w:proofErr w:type="spellEnd"/>
            <w:r>
              <w:rPr>
                <w:sz w:val="24"/>
                <w:szCs w:val="24"/>
              </w:rPr>
              <w:t xml:space="preserve"> житла, </w:t>
            </w: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 квартир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Отриман-ня</w:t>
            </w:r>
            <w:proofErr w:type="spellEnd"/>
            <w:r>
              <w:rPr>
                <w:sz w:val="24"/>
                <w:szCs w:val="24"/>
              </w:rPr>
              <w:t xml:space="preserve"> житла, </w:t>
            </w: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 квартир</w:t>
            </w:r>
          </w:p>
        </w:tc>
        <w:tc>
          <w:tcPr>
            <w:tcW w:w="1323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Профіна-нсовано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Отрима-но</w:t>
            </w:r>
            <w:proofErr w:type="spellEnd"/>
            <w:r>
              <w:rPr>
                <w:sz w:val="24"/>
                <w:szCs w:val="24"/>
              </w:rPr>
              <w:t xml:space="preserve"> житла всього, </w:t>
            </w:r>
            <w:proofErr w:type="spellStart"/>
            <w:r w:rsidRPr="002C3EC1">
              <w:rPr>
                <w:sz w:val="24"/>
                <w:szCs w:val="24"/>
                <w:u w:val="single"/>
              </w:rPr>
              <w:t>тис.кв.м</w:t>
            </w:r>
            <w:proofErr w:type="spellEnd"/>
            <w:r w:rsidRPr="002C3EC1">
              <w:rPr>
                <w:sz w:val="24"/>
                <w:szCs w:val="24"/>
                <w:u w:val="single"/>
              </w:rPr>
              <w:t>.</w:t>
            </w:r>
          </w:p>
          <w:p w:rsidR="00633C6B" w:rsidRPr="002C3EC1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2"/>
          </w:tcPr>
          <w:p w:rsidR="00633C6B" w:rsidRPr="008A0CAC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8A0CAC"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:rsidR="00633C6B" w:rsidRPr="008A0CAC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2" w:type="dxa"/>
            <w:gridSpan w:val="2"/>
          </w:tcPr>
          <w:p w:rsidR="00633C6B" w:rsidRPr="008A0CAC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2"/>
          </w:tcPr>
          <w:p w:rsidR="00633C6B" w:rsidRPr="008A0CAC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 xml:space="preserve">1998 </w:t>
            </w:r>
            <w:r>
              <w:rPr>
                <w:sz w:val="24"/>
                <w:szCs w:val="24"/>
              </w:rPr>
              <w:t>–</w:t>
            </w:r>
            <w:r w:rsidRPr="00792AA0">
              <w:rPr>
                <w:sz w:val="24"/>
                <w:szCs w:val="24"/>
              </w:rPr>
              <w:t xml:space="preserve"> 2005 роки</w:t>
            </w: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1998 - 2005 роки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„Про обласний фонд підтримки індивідуального житлового </w:t>
            </w:r>
            <w:proofErr w:type="spellStart"/>
            <w:r>
              <w:rPr>
                <w:sz w:val="24"/>
                <w:szCs w:val="24"/>
              </w:rPr>
              <w:t>будів-ництва</w:t>
            </w:r>
            <w:proofErr w:type="spellEnd"/>
            <w:r>
              <w:rPr>
                <w:sz w:val="24"/>
                <w:szCs w:val="24"/>
              </w:rPr>
              <w:t xml:space="preserve"> на селі ”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 та інші витрати;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голови ОДА від 26.05. 1998 р. № 252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1998-2011 роки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7601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5634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37,46</w:t>
            </w:r>
          </w:p>
          <w:p w:rsidR="00633C6B" w:rsidRPr="00A04DA6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 w:rsidRPr="00FC6615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0</w:t>
            </w:r>
            <w:r w:rsidRPr="00FC6615">
              <w:rPr>
                <w:sz w:val="24"/>
                <w:szCs w:val="24"/>
                <w:u w:val="single"/>
              </w:rPr>
              <w:t>,</w:t>
            </w:r>
            <w:r>
              <w:rPr>
                <w:sz w:val="24"/>
                <w:szCs w:val="24"/>
                <w:u w:val="single"/>
              </w:rPr>
              <w:t>02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7,44</w:t>
            </w:r>
          </w:p>
          <w:p w:rsidR="00633C6B" w:rsidRPr="00FC6615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буд.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Pr="00FC6615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7601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5634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1181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37,46</w:t>
            </w:r>
          </w:p>
          <w:p w:rsidR="00633C6B" w:rsidRPr="00A04DA6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 w:rsidRPr="00FC6615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0</w:t>
            </w:r>
            <w:r w:rsidRPr="00FC6615">
              <w:rPr>
                <w:sz w:val="24"/>
                <w:szCs w:val="24"/>
                <w:u w:val="single"/>
              </w:rPr>
              <w:t>,</w:t>
            </w:r>
            <w:r>
              <w:rPr>
                <w:sz w:val="24"/>
                <w:szCs w:val="24"/>
                <w:u w:val="single"/>
              </w:rPr>
              <w:t>02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7,44</w:t>
            </w:r>
          </w:p>
          <w:p w:rsidR="00633C6B" w:rsidRPr="00FC6615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буд.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33C6B" w:rsidRPr="001F23C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633C6B" w:rsidRPr="001F23C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3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2006-200</w:t>
            </w:r>
            <w:r>
              <w:rPr>
                <w:sz w:val="24"/>
                <w:szCs w:val="24"/>
              </w:rPr>
              <w:t>8</w:t>
            </w:r>
            <w:r w:rsidRPr="00792AA0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70" w:type="dxa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2006-2008 роки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„Про заходи </w:t>
            </w:r>
            <w:proofErr w:type="spellStart"/>
            <w:r>
              <w:rPr>
                <w:sz w:val="24"/>
                <w:szCs w:val="24"/>
              </w:rPr>
              <w:t>що-до</w:t>
            </w:r>
            <w:proofErr w:type="spellEnd"/>
            <w:r>
              <w:rPr>
                <w:sz w:val="24"/>
                <w:szCs w:val="24"/>
              </w:rPr>
              <w:t xml:space="preserve"> розвитку </w:t>
            </w:r>
            <w:proofErr w:type="spellStart"/>
            <w:r>
              <w:rPr>
                <w:sz w:val="24"/>
                <w:szCs w:val="24"/>
              </w:rPr>
              <w:t>креди-тування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індивіду-ального</w:t>
            </w:r>
            <w:proofErr w:type="spellEnd"/>
            <w:r>
              <w:rPr>
                <w:sz w:val="24"/>
                <w:szCs w:val="24"/>
              </w:rPr>
              <w:t xml:space="preserve"> житлового будівництва на селі по програмі „</w:t>
            </w:r>
            <w:proofErr w:type="spellStart"/>
            <w:r>
              <w:rPr>
                <w:sz w:val="24"/>
                <w:szCs w:val="24"/>
              </w:rPr>
              <w:t>Влас-ний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дім”</w:t>
            </w:r>
            <w:proofErr w:type="spellEnd"/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 та інші витрати;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  <w:p w:rsidR="00633C6B" w:rsidRPr="00537E20" w:rsidRDefault="00633C6B" w:rsidP="00633C6B">
            <w:pPr>
              <w:tabs>
                <w:tab w:val="left" w:pos="880"/>
              </w:tabs>
              <w:rPr>
                <w:sz w:val="16"/>
                <w:szCs w:val="16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„Про обласну цільову Програму підтримки </w:t>
            </w:r>
            <w:proofErr w:type="spellStart"/>
            <w:r>
              <w:rPr>
                <w:sz w:val="24"/>
                <w:szCs w:val="24"/>
              </w:rPr>
              <w:t>кредиту-вання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індивідуа-льного</w:t>
            </w:r>
            <w:proofErr w:type="spellEnd"/>
            <w:r>
              <w:rPr>
                <w:sz w:val="24"/>
                <w:szCs w:val="24"/>
              </w:rPr>
              <w:t xml:space="preserve"> житлового будівництва на селі у Полтавській </w:t>
            </w:r>
            <w:proofErr w:type="spellStart"/>
            <w:r>
              <w:rPr>
                <w:sz w:val="24"/>
                <w:szCs w:val="24"/>
              </w:rPr>
              <w:t>обла-сті</w:t>
            </w:r>
            <w:proofErr w:type="spellEnd"/>
            <w:r>
              <w:rPr>
                <w:sz w:val="24"/>
                <w:szCs w:val="24"/>
              </w:rPr>
              <w:t xml:space="preserve"> „Власний </w:t>
            </w:r>
            <w:proofErr w:type="spellStart"/>
            <w:r>
              <w:rPr>
                <w:sz w:val="24"/>
                <w:szCs w:val="24"/>
              </w:rPr>
              <w:t>дім”</w:t>
            </w:r>
            <w:proofErr w:type="spellEnd"/>
            <w:r>
              <w:rPr>
                <w:sz w:val="24"/>
                <w:szCs w:val="24"/>
              </w:rPr>
              <w:t xml:space="preserve"> на 2009-2011 </w:t>
            </w:r>
            <w:proofErr w:type="spellStart"/>
            <w:r>
              <w:rPr>
                <w:sz w:val="24"/>
                <w:szCs w:val="24"/>
              </w:rPr>
              <w:t>роки”</w:t>
            </w:r>
            <w:proofErr w:type="spellEnd"/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 та інші витрати;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Розпорядження голови ОДА від 02.11. 2001 р. № 377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18 сесії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скли-кання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Полтав-ської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облас-ної</w:t>
            </w:r>
            <w:proofErr w:type="spellEnd"/>
            <w:r>
              <w:rPr>
                <w:sz w:val="24"/>
                <w:szCs w:val="24"/>
              </w:rPr>
              <w:t xml:space="preserve"> ради від 25.11. 2008 р.</w:t>
            </w: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2006-2011 роки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 роки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111,65</w:t>
            </w:r>
          </w:p>
          <w:p w:rsidR="00633C6B" w:rsidRPr="00991842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35300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47,25</w:t>
            </w:r>
          </w:p>
          <w:p w:rsidR="00633C6B" w:rsidRPr="005B3A1A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64,4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64,66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27,86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36,8</w:t>
            </w:r>
          </w:p>
          <w:p w:rsidR="00633C6B" w:rsidRPr="00566662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13700</w:t>
            </w: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15999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9966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6033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24,75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Pr="003C4058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14,99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9,76</w:t>
            </w:r>
            <w:r w:rsidRPr="005B3A1A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   122 буд.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Pr="001624D1" w:rsidRDefault="00633C6B" w:rsidP="00633C6B">
            <w:pPr>
              <w:rPr>
                <w:sz w:val="24"/>
                <w:szCs w:val="24"/>
              </w:rPr>
            </w:pPr>
          </w:p>
          <w:p w:rsidR="00633C6B" w:rsidRPr="001624D1" w:rsidRDefault="00633C6B" w:rsidP="00633C6B">
            <w:pPr>
              <w:rPr>
                <w:sz w:val="24"/>
                <w:szCs w:val="24"/>
              </w:rPr>
            </w:pPr>
          </w:p>
          <w:p w:rsidR="00633C6B" w:rsidRPr="001624D1" w:rsidRDefault="00633C6B" w:rsidP="00633C6B">
            <w:pPr>
              <w:rPr>
                <w:sz w:val="24"/>
                <w:szCs w:val="24"/>
              </w:rPr>
            </w:pPr>
          </w:p>
          <w:p w:rsidR="00633C6B" w:rsidRPr="001624D1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6175</w:t>
            </w: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Pr="001624D1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</w:t>
            </w:r>
          </w:p>
        </w:tc>
        <w:tc>
          <w:tcPr>
            <w:tcW w:w="1181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9,32</w:t>
            </w:r>
          </w:p>
          <w:p w:rsidR="00633C6B" w:rsidRPr="001624D1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624D1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 xml:space="preserve"> буд.</w:t>
            </w:r>
            <w:r w:rsidRPr="001624D1">
              <w:rPr>
                <w:sz w:val="24"/>
                <w:szCs w:val="24"/>
              </w:rPr>
              <w:t xml:space="preserve"> 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5,82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3,5</w:t>
            </w:r>
          </w:p>
          <w:p w:rsidR="00633C6B" w:rsidRPr="00537E2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буд.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згідно з </w:t>
            </w:r>
            <w:proofErr w:type="spellStart"/>
            <w:r>
              <w:rPr>
                <w:sz w:val="24"/>
                <w:szCs w:val="24"/>
              </w:rPr>
              <w:t>Програ-мою</w:t>
            </w:r>
            <w:proofErr w:type="spellEnd"/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Pr="00566662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Pr="001F51C5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18,79</w:t>
            </w:r>
          </w:p>
          <w:p w:rsidR="00633C6B" w:rsidRPr="001F51C5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9,19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буд.</w:t>
            </w:r>
          </w:p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633C6B" w:rsidRPr="00566662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9,6</w:t>
            </w:r>
          </w:p>
          <w:p w:rsidR="00633C6B" w:rsidRPr="00566662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буд.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15999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9966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6033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</w:t>
            </w:r>
          </w:p>
        </w:tc>
        <w:tc>
          <w:tcPr>
            <w:tcW w:w="1181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24,75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14,99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9,76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537E20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9,32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 w:rsidRPr="00537E20">
              <w:rPr>
                <w:sz w:val="24"/>
                <w:szCs w:val="24"/>
              </w:rPr>
              <w:t>113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5,82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буд.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3,5</w:t>
            </w:r>
          </w:p>
          <w:p w:rsidR="00633C6B" w:rsidRPr="00537E2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буд.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33C6B" w:rsidRPr="001F23C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633C6B" w:rsidRPr="001F23C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3C6B" w:rsidRPr="00325C09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3C6B" w:rsidRPr="00DC0B41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3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2000-200</w:t>
            </w:r>
            <w:r>
              <w:rPr>
                <w:sz w:val="24"/>
                <w:szCs w:val="24"/>
              </w:rPr>
              <w:t>8</w:t>
            </w:r>
            <w:r w:rsidRPr="00792AA0">
              <w:rPr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Pr="00792AA0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633C6B" w:rsidRPr="00792AA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2000-200</w:t>
            </w:r>
            <w:r>
              <w:rPr>
                <w:sz w:val="24"/>
                <w:szCs w:val="24"/>
              </w:rPr>
              <w:t>9</w:t>
            </w:r>
            <w:r w:rsidRPr="00792AA0">
              <w:rPr>
                <w:sz w:val="24"/>
                <w:szCs w:val="24"/>
              </w:rPr>
              <w:t xml:space="preserve"> роки</w:t>
            </w:r>
          </w:p>
        </w:tc>
      </w:tr>
      <w:tr w:rsidR="00633C6B" w:rsidTr="00633C6B"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Програма </w:t>
            </w:r>
            <w:proofErr w:type="spellStart"/>
            <w:r>
              <w:rPr>
                <w:sz w:val="24"/>
                <w:szCs w:val="24"/>
              </w:rPr>
              <w:t>розвит-ку</w:t>
            </w:r>
            <w:proofErr w:type="spellEnd"/>
            <w:r>
              <w:rPr>
                <w:sz w:val="24"/>
                <w:szCs w:val="24"/>
              </w:rPr>
              <w:t xml:space="preserve"> молодіжного житлового </w:t>
            </w:r>
            <w:proofErr w:type="spellStart"/>
            <w:r>
              <w:rPr>
                <w:sz w:val="24"/>
                <w:szCs w:val="24"/>
              </w:rPr>
              <w:t>будівни-цтва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Полтавсь-кій</w:t>
            </w:r>
            <w:proofErr w:type="spellEnd"/>
            <w:r>
              <w:rPr>
                <w:sz w:val="24"/>
                <w:szCs w:val="24"/>
              </w:rPr>
              <w:t xml:space="preserve"> області на 2000 - 2010 </w:t>
            </w:r>
            <w:proofErr w:type="spellStart"/>
            <w:r>
              <w:rPr>
                <w:sz w:val="24"/>
                <w:szCs w:val="24"/>
              </w:rPr>
              <w:t>роки”</w:t>
            </w:r>
            <w:proofErr w:type="spellEnd"/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будівництво, реконструкція житла;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  <w:p w:rsidR="00633C6B" w:rsidRPr="00325C09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10 сесії ХХІІІ скликання </w:t>
            </w:r>
            <w:proofErr w:type="spellStart"/>
            <w:r>
              <w:rPr>
                <w:sz w:val="24"/>
                <w:szCs w:val="24"/>
              </w:rPr>
              <w:t>Пол-тавської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облас-ної</w:t>
            </w:r>
            <w:proofErr w:type="spellEnd"/>
            <w:r>
              <w:rPr>
                <w:sz w:val="24"/>
                <w:szCs w:val="24"/>
              </w:rPr>
              <w:t xml:space="preserve"> ради від 02.12. 1999р.  </w:t>
            </w:r>
          </w:p>
        </w:tc>
        <w:tc>
          <w:tcPr>
            <w:tcW w:w="992" w:type="dxa"/>
          </w:tcPr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2000-2010рр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 w:rsidRPr="00DC0B41">
              <w:rPr>
                <w:sz w:val="24"/>
                <w:szCs w:val="24"/>
                <w:u w:val="single"/>
              </w:rPr>
              <w:t>202,244</w:t>
            </w:r>
          </w:p>
          <w:p w:rsidR="00633C6B" w:rsidRPr="00DC0B41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149474</w:t>
            </w: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44931,7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40606,5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4325,2</w:t>
            </w: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32,1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29,9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2,2</w:t>
            </w:r>
          </w:p>
          <w:p w:rsidR="00633C6B" w:rsidRPr="00DC0B41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кв.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2262,1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863,5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1398,6</w:t>
            </w:r>
          </w:p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0,41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0,41</w:t>
            </w:r>
          </w:p>
          <w:p w:rsidR="00633C6B" w:rsidRPr="00DC0B41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кв.</w:t>
            </w:r>
          </w:p>
        </w:tc>
        <w:tc>
          <w:tcPr>
            <w:tcW w:w="1370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12000         * згідно з </w:t>
            </w:r>
            <w:proofErr w:type="spellStart"/>
            <w:r>
              <w:rPr>
                <w:sz w:val="24"/>
                <w:szCs w:val="24"/>
              </w:rPr>
              <w:t>Програ-мою</w:t>
            </w:r>
            <w:proofErr w:type="spellEnd"/>
          </w:p>
        </w:tc>
        <w:tc>
          <w:tcPr>
            <w:tcW w:w="1276" w:type="dxa"/>
          </w:tcPr>
          <w:p w:rsidR="00633C6B" w:rsidRPr="004C1E96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47193,8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41470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325C09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5723,8</w:t>
            </w:r>
          </w:p>
        </w:tc>
        <w:tc>
          <w:tcPr>
            <w:tcW w:w="1181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32,5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29,9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</w:t>
            </w:r>
          </w:p>
          <w:p w:rsidR="00633C6B" w:rsidRPr="00DC0B41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кв.</w:t>
            </w:r>
          </w:p>
        </w:tc>
      </w:tr>
      <w:tr w:rsidR="00633C6B" w:rsidTr="00633C6B">
        <w:trPr>
          <w:trHeight w:val="90"/>
        </w:trPr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33C6B" w:rsidRPr="00165E7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</w:tcPr>
          <w:p w:rsidR="00633C6B" w:rsidRPr="00165E7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633C6B" w:rsidRPr="007D2E30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D2E30">
              <w:rPr>
                <w:sz w:val="24"/>
                <w:szCs w:val="24"/>
              </w:rPr>
              <w:t>9</w:t>
            </w:r>
          </w:p>
        </w:tc>
        <w:tc>
          <w:tcPr>
            <w:tcW w:w="1370" w:type="dxa"/>
          </w:tcPr>
          <w:p w:rsidR="00633C6B" w:rsidRPr="00165E7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33C6B" w:rsidRPr="00165E7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3"/>
          </w:tcPr>
          <w:p w:rsidR="00633C6B" w:rsidRPr="007E18E1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E18E1">
              <w:rPr>
                <w:sz w:val="24"/>
                <w:szCs w:val="24"/>
              </w:rPr>
              <w:t>13</w:t>
            </w:r>
          </w:p>
        </w:tc>
      </w:tr>
      <w:tr w:rsidR="00633C6B" w:rsidTr="00633C6B">
        <w:trPr>
          <w:trHeight w:val="254"/>
        </w:trPr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3"/>
          </w:tcPr>
          <w:p w:rsidR="00633C6B" w:rsidRPr="00165E7E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рік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1370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633C6B" w:rsidRPr="00A8581C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A8581C">
              <w:rPr>
                <w:sz w:val="24"/>
                <w:szCs w:val="24"/>
              </w:rPr>
              <w:t xml:space="preserve">2008 </w:t>
            </w:r>
            <w:r>
              <w:rPr>
                <w:sz w:val="24"/>
                <w:szCs w:val="24"/>
              </w:rPr>
              <w:t>– 2009 роки</w:t>
            </w:r>
            <w:r w:rsidRPr="00A8581C">
              <w:rPr>
                <w:sz w:val="24"/>
                <w:szCs w:val="24"/>
              </w:rPr>
              <w:t xml:space="preserve"> </w:t>
            </w:r>
          </w:p>
        </w:tc>
      </w:tr>
      <w:tr w:rsidR="00633C6B" w:rsidTr="00633C6B">
        <w:trPr>
          <w:trHeight w:val="987"/>
        </w:trPr>
        <w:tc>
          <w:tcPr>
            <w:tcW w:w="675" w:type="dxa"/>
          </w:tcPr>
          <w:p w:rsidR="00633C6B" w:rsidRDefault="00633C6B" w:rsidP="00633C6B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33C6B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„Про обласну </w:t>
            </w:r>
            <w:proofErr w:type="spellStart"/>
            <w:r>
              <w:rPr>
                <w:sz w:val="24"/>
                <w:szCs w:val="24"/>
              </w:rPr>
              <w:t>Про-граму</w:t>
            </w:r>
            <w:proofErr w:type="spellEnd"/>
            <w:r>
              <w:rPr>
                <w:sz w:val="24"/>
                <w:szCs w:val="24"/>
              </w:rPr>
              <w:t xml:space="preserve"> забезпечення житлом </w:t>
            </w:r>
            <w:proofErr w:type="spellStart"/>
            <w:r>
              <w:rPr>
                <w:sz w:val="24"/>
                <w:szCs w:val="24"/>
              </w:rPr>
              <w:t>військово-службовців</w:t>
            </w:r>
            <w:proofErr w:type="spellEnd"/>
            <w:r>
              <w:rPr>
                <w:sz w:val="24"/>
                <w:szCs w:val="24"/>
              </w:rPr>
              <w:t xml:space="preserve"> та осіб рядового і </w:t>
            </w:r>
            <w:proofErr w:type="spellStart"/>
            <w:r>
              <w:rPr>
                <w:sz w:val="24"/>
                <w:szCs w:val="24"/>
              </w:rPr>
              <w:t>началь-ницького</w:t>
            </w:r>
            <w:proofErr w:type="spellEnd"/>
            <w:r>
              <w:rPr>
                <w:sz w:val="24"/>
                <w:szCs w:val="24"/>
              </w:rPr>
              <w:t xml:space="preserve"> складу, звільнених у запас або відставку за станом здоров’я, віком, вислугою років та у зв’язку із скороченням </w:t>
            </w:r>
            <w:proofErr w:type="spellStart"/>
            <w:r>
              <w:rPr>
                <w:sz w:val="24"/>
                <w:szCs w:val="24"/>
              </w:rPr>
              <w:t>шта-тів</w:t>
            </w:r>
            <w:proofErr w:type="spellEnd"/>
            <w:r>
              <w:rPr>
                <w:sz w:val="24"/>
                <w:szCs w:val="24"/>
              </w:rPr>
              <w:t xml:space="preserve">, які </w:t>
            </w:r>
            <w:proofErr w:type="spellStart"/>
            <w:r>
              <w:rPr>
                <w:sz w:val="24"/>
                <w:szCs w:val="24"/>
              </w:rPr>
              <w:t>перебува-ють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квартирно-му</w:t>
            </w:r>
            <w:proofErr w:type="spellEnd"/>
            <w:r>
              <w:rPr>
                <w:sz w:val="24"/>
                <w:szCs w:val="24"/>
              </w:rPr>
              <w:t xml:space="preserve"> обліку за місцем проживання, членів сімей з числа цих осіб, які загинули під час виконання ними службових обов’язків, а також учасників бойових дій в Афганістані та воєнних </w:t>
            </w:r>
            <w:proofErr w:type="spellStart"/>
            <w:r>
              <w:rPr>
                <w:sz w:val="24"/>
                <w:szCs w:val="24"/>
              </w:rPr>
              <w:t>конфлі-ктів</w:t>
            </w:r>
            <w:proofErr w:type="spellEnd"/>
            <w:r>
              <w:rPr>
                <w:sz w:val="24"/>
                <w:szCs w:val="24"/>
              </w:rPr>
              <w:t xml:space="preserve"> на 2008 </w:t>
            </w:r>
            <w:proofErr w:type="spellStart"/>
            <w:r>
              <w:rPr>
                <w:sz w:val="24"/>
                <w:szCs w:val="24"/>
              </w:rPr>
              <w:t>рік”</w:t>
            </w:r>
            <w:proofErr w:type="spellEnd"/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житла;</w:t>
            </w:r>
          </w:p>
          <w:p w:rsidR="00633C6B" w:rsidRPr="00165E7E" w:rsidRDefault="00633C6B" w:rsidP="00633C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</w:tc>
        <w:tc>
          <w:tcPr>
            <w:tcW w:w="1087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п’ятнадцятої сесії п’ятого скликання обласної ради від 30 травня 2008 року</w:t>
            </w:r>
          </w:p>
        </w:tc>
        <w:tc>
          <w:tcPr>
            <w:tcW w:w="992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рік</w:t>
            </w:r>
          </w:p>
        </w:tc>
        <w:tc>
          <w:tcPr>
            <w:tcW w:w="1134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 w:rsidRPr="00165E7E"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</w:rPr>
              <w:t>,01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2261,5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484A28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0,09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633C6B" w:rsidRPr="00484A28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0,92</w:t>
            </w:r>
          </w:p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1897,5</w:t>
            </w:r>
          </w:p>
        </w:tc>
        <w:tc>
          <w:tcPr>
            <w:tcW w:w="1182" w:type="dxa"/>
            <w:gridSpan w:val="2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2261,5</w:t>
            </w:r>
          </w:p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  <w:p w:rsidR="00633C6B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1375,5</w:t>
            </w:r>
          </w:p>
        </w:tc>
        <w:tc>
          <w:tcPr>
            <w:tcW w:w="108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0,6</w:t>
            </w:r>
          </w:p>
          <w:p w:rsidR="00633C6B" w:rsidRPr="00A8581C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кв.</w:t>
            </w: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</w:p>
          <w:p w:rsidR="00633C6B" w:rsidRDefault="00633C6B" w:rsidP="00633C6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0,04</w:t>
            </w:r>
          </w:p>
          <w:p w:rsidR="00633C6B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</w:t>
            </w:r>
          </w:p>
          <w:p w:rsidR="00633C6B" w:rsidRDefault="00633C6B" w:rsidP="00633C6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0,56</w:t>
            </w:r>
          </w:p>
          <w:p w:rsidR="00633C6B" w:rsidRPr="00A8581C" w:rsidRDefault="00633C6B" w:rsidP="0063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кв.</w:t>
            </w: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633C6B" w:rsidRPr="00A8581C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0,22</w:t>
            </w:r>
          </w:p>
          <w:p w:rsidR="00633C6B" w:rsidRPr="00A8581C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 w:rsidRPr="00A8581C">
              <w:rPr>
                <w:sz w:val="24"/>
                <w:szCs w:val="24"/>
              </w:rPr>
              <w:t>3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0,22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кв.</w:t>
            </w:r>
          </w:p>
          <w:p w:rsidR="00633C6B" w:rsidRPr="00764ADC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 w:rsidRPr="00165E7E">
              <w:rPr>
                <w:sz w:val="24"/>
                <w:szCs w:val="24"/>
              </w:rPr>
              <w:t>2261,5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Pr="00165E7E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1375,5</w:t>
            </w:r>
          </w:p>
        </w:tc>
        <w:tc>
          <w:tcPr>
            <w:tcW w:w="1181" w:type="dxa"/>
            <w:gridSpan w:val="3"/>
          </w:tcPr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0,82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0,26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кв.</w:t>
            </w:r>
          </w:p>
          <w:p w:rsidR="00633C6B" w:rsidRDefault="00633C6B" w:rsidP="00633C6B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0,56</w:t>
            </w:r>
          </w:p>
          <w:p w:rsidR="00633C6B" w:rsidRPr="00764ADC" w:rsidRDefault="00633C6B" w:rsidP="00633C6B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кв.</w:t>
            </w:r>
          </w:p>
        </w:tc>
      </w:tr>
    </w:tbl>
    <w:p w:rsidR="00633C6B" w:rsidRDefault="00633C6B" w:rsidP="00633C6B">
      <w:pPr>
        <w:shd w:val="clear" w:color="auto" w:fill="FFFFFF"/>
        <w:spacing w:before="576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Таблиця 7</w:t>
      </w:r>
    </w:p>
    <w:p w:rsidR="00633C6B" w:rsidRDefault="00633C6B" w:rsidP="00633C6B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633C6B" w:rsidRDefault="00633C6B" w:rsidP="00633C6B">
      <w:pPr>
        <w:shd w:val="clear" w:color="auto" w:fill="FFFFFF"/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житлового будівництва на 2010 рік</w:t>
      </w:r>
    </w:p>
    <w:p w:rsidR="00633C6B" w:rsidRDefault="00633C6B" w:rsidP="00633C6B">
      <w:pPr>
        <w:shd w:val="clear" w:color="auto" w:fill="FFFFFF"/>
        <w:tabs>
          <w:tab w:val="left" w:pos="709"/>
        </w:tabs>
        <w:jc w:val="both"/>
        <w:rPr>
          <w:bCs/>
          <w:color w:val="000000"/>
          <w:sz w:val="28"/>
          <w:szCs w:val="28"/>
        </w:rPr>
      </w:pPr>
    </w:p>
    <w:p w:rsidR="00633C6B" w:rsidRPr="00792AA0" w:rsidRDefault="00633C6B" w:rsidP="00633C6B">
      <w:pPr>
        <w:shd w:val="clear" w:color="auto" w:fill="FFFFFF"/>
        <w:tabs>
          <w:tab w:val="left" w:pos="709"/>
        </w:tabs>
        <w:jc w:val="center"/>
        <w:rPr>
          <w:bCs/>
          <w:color w:val="000000"/>
          <w:sz w:val="28"/>
          <w:szCs w:val="28"/>
        </w:rPr>
      </w:pPr>
      <w:r w:rsidRPr="00792AA0">
        <w:rPr>
          <w:bCs/>
          <w:color w:val="000000"/>
          <w:sz w:val="28"/>
          <w:szCs w:val="28"/>
        </w:rPr>
        <w:t>Регіональні показники обсягів інвестицій у житлові будівлі на 20</w:t>
      </w:r>
      <w:r>
        <w:rPr>
          <w:bCs/>
          <w:color w:val="000000"/>
          <w:sz w:val="28"/>
          <w:szCs w:val="28"/>
        </w:rPr>
        <w:t>10</w:t>
      </w:r>
      <w:r w:rsidRPr="00792AA0">
        <w:rPr>
          <w:bCs/>
          <w:color w:val="000000"/>
          <w:sz w:val="28"/>
          <w:szCs w:val="28"/>
        </w:rPr>
        <w:t xml:space="preserve"> рік за джерелами фінансування</w:t>
      </w:r>
    </w:p>
    <w:p w:rsidR="00633C6B" w:rsidRDefault="00633C6B" w:rsidP="00633C6B">
      <w:pPr>
        <w:shd w:val="clear" w:color="auto" w:fill="FFFFFF"/>
        <w:ind w:left="240"/>
        <w:jc w:val="right"/>
        <w:rPr>
          <w:bCs/>
          <w:color w:val="000000"/>
          <w:sz w:val="28"/>
          <w:szCs w:val="28"/>
        </w:rPr>
      </w:pPr>
      <w:r w:rsidRPr="00792AA0">
        <w:rPr>
          <w:bCs/>
          <w:color w:val="000000"/>
          <w:sz w:val="28"/>
          <w:szCs w:val="28"/>
        </w:rPr>
        <w:t xml:space="preserve">            </w:t>
      </w:r>
      <w:r w:rsidRPr="00792AA0">
        <w:rPr>
          <w:bCs/>
          <w:color w:val="000000"/>
          <w:sz w:val="28"/>
          <w:szCs w:val="28"/>
        </w:rPr>
        <w:tab/>
      </w:r>
      <w:r w:rsidRPr="008C2077">
        <w:rPr>
          <w:b/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( млн. грн. )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51"/>
        <w:gridCol w:w="809"/>
        <w:gridCol w:w="1004"/>
        <w:gridCol w:w="980"/>
        <w:gridCol w:w="1004"/>
        <w:gridCol w:w="850"/>
        <w:gridCol w:w="981"/>
        <w:gridCol w:w="1276"/>
        <w:gridCol w:w="850"/>
        <w:gridCol w:w="1046"/>
        <w:gridCol w:w="1092"/>
        <w:gridCol w:w="1348"/>
        <w:gridCol w:w="992"/>
      </w:tblGrid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2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4"/>
              </w:rPr>
            </w:pPr>
          </w:p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w w:val="109"/>
                <w:sz w:val="28"/>
                <w:szCs w:val="24"/>
              </w:rPr>
              <w:t>Всього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4"/>
              </w:rPr>
            </w:pPr>
            <w:r>
              <w:rPr>
                <w:color w:val="000000"/>
                <w:w w:val="109"/>
                <w:sz w:val="28"/>
                <w:szCs w:val="24"/>
              </w:rPr>
              <w:t>у тому числі за рахунок коштів: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1394"/>
        </w:trPr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Дер-жавно-го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4"/>
              </w:rPr>
              <w:t>бюд-жету</w:t>
            </w:r>
            <w:proofErr w:type="spellEnd"/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Місцевих </w:t>
            </w:r>
            <w:proofErr w:type="spellStart"/>
            <w:r>
              <w:rPr>
                <w:color w:val="000000"/>
                <w:sz w:val="28"/>
                <w:szCs w:val="24"/>
              </w:rPr>
              <w:t>бюд-жетів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Власних коштів підприємств та організацій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Кредитів банків та інших позик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Іноземних </w:t>
            </w:r>
            <w:proofErr w:type="spellStart"/>
            <w:r>
              <w:rPr>
                <w:color w:val="000000"/>
                <w:sz w:val="28"/>
                <w:szCs w:val="24"/>
              </w:rPr>
              <w:t>інвес-торів</w:t>
            </w:r>
            <w:proofErr w:type="spellEnd"/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Вітчизняних інвестиційних </w:t>
            </w:r>
            <w:proofErr w:type="spellStart"/>
            <w:r>
              <w:rPr>
                <w:color w:val="000000"/>
                <w:sz w:val="28"/>
                <w:szCs w:val="24"/>
              </w:rPr>
              <w:t>компа-ній</w:t>
            </w:r>
            <w:proofErr w:type="spellEnd"/>
            <w:r>
              <w:rPr>
                <w:color w:val="000000"/>
                <w:sz w:val="28"/>
                <w:szCs w:val="24"/>
              </w:rPr>
              <w:t>, фондів тощо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Населе-ння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4"/>
              </w:rPr>
              <w:t>будів-ництво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власних квартир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Населен-ня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4"/>
              </w:rPr>
              <w:t>індиві-</w:t>
            </w:r>
            <w:proofErr w:type="spellEnd"/>
          </w:p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дуальне житлове </w:t>
            </w:r>
            <w:proofErr w:type="spellStart"/>
            <w:r>
              <w:rPr>
                <w:color w:val="000000"/>
                <w:sz w:val="28"/>
                <w:szCs w:val="24"/>
              </w:rPr>
              <w:t>будів-</w:t>
            </w:r>
            <w:proofErr w:type="spellEnd"/>
          </w:p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ництво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Інших джерел</w:t>
            </w: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з них </w:t>
            </w:r>
            <w:proofErr w:type="spellStart"/>
            <w:r>
              <w:rPr>
                <w:color w:val="000000"/>
                <w:sz w:val="28"/>
                <w:szCs w:val="24"/>
              </w:rPr>
              <w:t>амор-тиза-цій-них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4"/>
              </w:rPr>
              <w:t>відра-ху-вань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всього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з них: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кре-дитів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іно-зем-них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бан-ків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іпотечного кредитування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235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 нього </w:t>
            </w:r>
            <w:proofErr w:type="spellStart"/>
            <w:r>
              <w:rPr>
                <w:sz w:val="28"/>
                <w:szCs w:val="24"/>
              </w:rPr>
              <w:t>іпот</w:t>
            </w:r>
            <w:proofErr w:type="spellEnd"/>
            <w:r>
              <w:rPr>
                <w:sz w:val="28"/>
                <w:szCs w:val="24"/>
              </w:rPr>
              <w:t xml:space="preserve">. </w:t>
            </w:r>
            <w:proofErr w:type="spellStart"/>
            <w:r>
              <w:rPr>
                <w:sz w:val="28"/>
                <w:szCs w:val="24"/>
              </w:rPr>
              <w:t>кре-дит</w:t>
            </w:r>
            <w:proofErr w:type="spellEnd"/>
            <w:r>
              <w:rPr>
                <w:sz w:val="28"/>
                <w:szCs w:val="24"/>
              </w:rPr>
              <w:t xml:space="preserve">. </w:t>
            </w:r>
            <w:proofErr w:type="spellStart"/>
            <w:r>
              <w:rPr>
                <w:sz w:val="28"/>
                <w:szCs w:val="24"/>
              </w:rPr>
              <w:t>на-селення</w:t>
            </w:r>
            <w:proofErr w:type="spellEnd"/>
            <w:r>
              <w:rPr>
                <w:sz w:val="28"/>
                <w:szCs w:val="24"/>
              </w:rPr>
              <w:t xml:space="preserve"> на буд. власних квартир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rPr>
                <w:sz w:val="28"/>
                <w:szCs w:val="24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4"/>
              </w:rPr>
            </w:pPr>
            <w:r>
              <w:rPr>
                <w:color w:val="000000"/>
                <w:w w:val="109"/>
                <w:sz w:val="28"/>
                <w:szCs w:val="24"/>
              </w:rPr>
              <w:t>2010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852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2,8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</w:tr>
      <w:tr w:rsidR="00633C6B" w:rsidTr="00633C6B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до         2009 р., %</w:t>
            </w:r>
          </w:p>
          <w:p w:rsidR="00633C6B" w:rsidRPr="00AF5DEF" w:rsidRDefault="00633C6B" w:rsidP="00633C6B">
            <w:pPr>
              <w:shd w:val="clear" w:color="auto" w:fill="FFFFFF"/>
              <w:jc w:val="center"/>
              <w:rPr>
                <w:color w:val="000000"/>
                <w:spacing w:val="-20"/>
                <w:w w:val="10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 2,2 р.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 14 р.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 2,2 р.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 2,3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 2,7р.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C6B" w:rsidRDefault="00633C6B" w:rsidP="00633C6B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</w:tr>
    </w:tbl>
    <w:p w:rsidR="00633C6B" w:rsidRDefault="00633C6B" w:rsidP="00633C6B">
      <w:pPr>
        <w:shd w:val="clear" w:color="auto" w:fill="FFFFFF"/>
        <w:ind w:left="240"/>
        <w:jc w:val="both"/>
      </w:pPr>
    </w:p>
    <w:p w:rsidR="00B2612F" w:rsidRDefault="00B2612F"/>
    <w:sectPr w:rsidR="00B2612F" w:rsidSect="00633C6B">
      <w:pgSz w:w="16840" w:h="11907" w:orient="landscape" w:code="9"/>
      <w:pgMar w:top="1701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C5CD9">
      <w:r>
        <w:separator/>
      </w:r>
    </w:p>
  </w:endnote>
  <w:endnote w:type="continuationSeparator" w:id="0">
    <w:p w:rsidR="00000000" w:rsidRDefault="009C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C5CD9">
      <w:r>
        <w:separator/>
      </w:r>
    </w:p>
  </w:footnote>
  <w:footnote w:type="continuationSeparator" w:id="0">
    <w:p w:rsidR="00000000" w:rsidRDefault="009C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C6B" w:rsidRDefault="00633C6B" w:rsidP="00633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6B" w:rsidRDefault="00633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C6B" w:rsidRPr="00712DF8" w:rsidRDefault="00633C6B" w:rsidP="00633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D35"/>
    <w:multiLevelType w:val="multilevel"/>
    <w:tmpl w:val="F258C220"/>
    <w:lvl w:ilvl="0">
      <w:start w:val="7"/>
      <w:numFmt w:val="decimalZero"/>
      <w:lvlText w:val="%1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  <w:rPr>
        <w:rFonts w:hint="default"/>
      </w:rPr>
    </w:lvl>
  </w:abstractNum>
  <w:abstractNum w:abstractNumId="1" w15:restartNumberingAfterBreak="0">
    <w:nsid w:val="1C1804E5"/>
    <w:multiLevelType w:val="multilevel"/>
    <w:tmpl w:val="F258C220"/>
    <w:lvl w:ilvl="0">
      <w:start w:val="7"/>
      <w:numFmt w:val="decimalZero"/>
      <w:lvlText w:val="%1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  <w:rPr>
        <w:rFonts w:hint="default"/>
      </w:rPr>
    </w:lvl>
  </w:abstractNum>
  <w:abstractNum w:abstractNumId="2" w15:restartNumberingAfterBreak="0">
    <w:nsid w:val="3B43279C"/>
    <w:multiLevelType w:val="multilevel"/>
    <w:tmpl w:val="F258C220"/>
    <w:lvl w:ilvl="0">
      <w:start w:val="7"/>
      <w:numFmt w:val="decimalZero"/>
      <w:lvlText w:val="%1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  <w:rPr>
        <w:rFonts w:hint="default"/>
      </w:rPr>
    </w:lvl>
  </w:abstractNum>
  <w:abstractNum w:abstractNumId="3" w15:restartNumberingAfterBreak="0">
    <w:nsid w:val="4D7D07EA"/>
    <w:multiLevelType w:val="multilevel"/>
    <w:tmpl w:val="8E5E3308"/>
    <w:lvl w:ilvl="0">
      <w:start w:val="1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C6B"/>
    <w:rsid w:val="00633C6B"/>
    <w:rsid w:val="009C5CD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5D939-E179-45E2-ABAD-9AAA44E8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C6B"/>
    <w:pPr>
      <w:overflowPunct w:val="0"/>
      <w:autoSpaceDE w:val="0"/>
      <w:autoSpaceDN w:val="0"/>
      <w:adjustRightInd w:val="0"/>
      <w:textAlignment w:val="baseline"/>
    </w:pPr>
    <w:rPr>
      <w:lang w:val="uk-UA" w:eastAsia="ru-RU"/>
    </w:rPr>
  </w:style>
  <w:style w:type="paragraph" w:styleId="Heading1">
    <w:name w:val="heading 1"/>
    <w:basedOn w:val="Normal"/>
    <w:next w:val="Normal"/>
    <w:qFormat/>
    <w:rsid w:val="00633C6B"/>
    <w:pPr>
      <w:keepNext/>
      <w:shd w:val="clear" w:color="auto" w:fill="FFFFFF"/>
      <w:ind w:left="2779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rsid w:val="00633C6B"/>
    <w:pPr>
      <w:keepNext/>
      <w:tabs>
        <w:tab w:val="left" w:pos="9356"/>
      </w:tabs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33C6B"/>
    <w:pPr>
      <w:shd w:val="clear" w:color="auto" w:fill="FFFFFF"/>
      <w:tabs>
        <w:tab w:val="left" w:pos="709"/>
        <w:tab w:val="left" w:pos="9356"/>
      </w:tabs>
    </w:pPr>
    <w:rPr>
      <w:sz w:val="28"/>
      <w:szCs w:val="28"/>
    </w:rPr>
  </w:style>
  <w:style w:type="paragraph" w:styleId="Header">
    <w:name w:val="header"/>
    <w:basedOn w:val="Normal"/>
    <w:rsid w:val="00633C6B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633C6B"/>
  </w:style>
  <w:style w:type="paragraph" w:styleId="Footer">
    <w:name w:val="footer"/>
    <w:basedOn w:val="Normal"/>
    <w:rsid w:val="00633C6B"/>
    <w:pPr>
      <w:tabs>
        <w:tab w:val="center" w:pos="4819"/>
        <w:tab w:val="right" w:pos="9639"/>
      </w:tabs>
    </w:pPr>
  </w:style>
  <w:style w:type="paragraph" w:styleId="BodyTextIndent2">
    <w:name w:val="Body Text Indent 2"/>
    <w:basedOn w:val="Normal"/>
    <w:rsid w:val="00633C6B"/>
    <w:pPr>
      <w:widowControl w:val="0"/>
      <w:overflowPunct/>
      <w:adjustRightInd/>
      <w:ind w:firstLine="284"/>
      <w:jc w:val="both"/>
      <w:textAlignment w:val="auto"/>
    </w:pPr>
    <w:rPr>
      <w:sz w:val="22"/>
    </w:rPr>
  </w:style>
  <w:style w:type="paragraph" w:styleId="BodyText2">
    <w:name w:val="Body Text 2"/>
    <w:basedOn w:val="Normal"/>
    <w:rsid w:val="00633C6B"/>
    <w:pPr>
      <w:shd w:val="clear" w:color="auto" w:fill="FFFFFF"/>
      <w:tabs>
        <w:tab w:val="left" w:pos="284"/>
        <w:tab w:val="left" w:pos="9356"/>
      </w:tabs>
      <w:jc w:val="both"/>
    </w:pPr>
    <w:rPr>
      <w:sz w:val="28"/>
      <w:szCs w:val="28"/>
    </w:rPr>
  </w:style>
  <w:style w:type="table" w:styleId="TableGrid">
    <w:name w:val="Table Grid"/>
    <w:basedOn w:val="TableNormal"/>
    <w:rsid w:val="00633C6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