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D86" w:rsidRDefault="00907D86" w:rsidP="00907D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ЗАТВЕРДЖЕНО</w:t>
      </w:r>
    </w:p>
    <w:p w:rsidR="00907D86" w:rsidRDefault="00907D86" w:rsidP="00907D8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 голови</w:t>
      </w:r>
    </w:p>
    <w:p w:rsidR="00907D86" w:rsidRDefault="00907D86" w:rsidP="00907D86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обласної   державної </w:t>
      </w:r>
    </w:p>
    <w:p w:rsidR="00907D86" w:rsidRDefault="00907D86" w:rsidP="00907D86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адміністрації</w:t>
      </w:r>
    </w:p>
    <w:p w:rsidR="00907D86" w:rsidRDefault="00907D86" w:rsidP="00907D86">
      <w:pPr>
        <w:ind w:left="5664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31.05.2011 №227</w:t>
      </w:r>
    </w:p>
    <w:p w:rsidR="00907D86" w:rsidRDefault="00907D86" w:rsidP="00907D86">
      <w:pPr>
        <w:ind w:left="5664" w:firstLine="708"/>
        <w:rPr>
          <w:sz w:val="28"/>
          <w:szCs w:val="28"/>
          <w:lang w:val="uk-UA"/>
        </w:rPr>
      </w:pPr>
    </w:p>
    <w:p w:rsidR="00907D86" w:rsidRDefault="00907D86" w:rsidP="00907D86">
      <w:pPr>
        <w:ind w:left="5664" w:firstLine="708"/>
        <w:rPr>
          <w:sz w:val="28"/>
          <w:szCs w:val="28"/>
          <w:lang w:val="uk-UA"/>
        </w:rPr>
      </w:pPr>
    </w:p>
    <w:p w:rsidR="00907D86" w:rsidRDefault="00907D86" w:rsidP="00907D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907D86" w:rsidRDefault="00907D86" w:rsidP="00907D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Наглядову раду з питань діяльності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 </w:t>
      </w:r>
    </w:p>
    <w:p w:rsidR="00907D86" w:rsidRDefault="00907D86" w:rsidP="00907D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системи органів праці та соціального захисту населення</w:t>
      </w:r>
      <w:r w:rsidRPr="002E7994">
        <w:rPr>
          <w:sz w:val="28"/>
          <w:szCs w:val="28"/>
        </w:rPr>
        <w:t xml:space="preserve"> </w:t>
      </w:r>
    </w:p>
    <w:p w:rsidR="00907D86" w:rsidRPr="002E7994" w:rsidRDefault="00907D86" w:rsidP="00907D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Полтавській обласній державній адміністрації</w:t>
      </w:r>
    </w:p>
    <w:p w:rsidR="00907D86" w:rsidRDefault="00907D86" w:rsidP="00907D86">
      <w:pPr>
        <w:jc w:val="both"/>
        <w:rPr>
          <w:sz w:val="28"/>
          <w:szCs w:val="28"/>
          <w:lang w:val="uk-UA"/>
        </w:rPr>
      </w:pPr>
    </w:p>
    <w:p w:rsidR="00907D86" w:rsidRDefault="00907D86" w:rsidP="00907D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 Наглядова рада з питань діяльності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 системи органів соціального захисту населення при Полтавській обласній державній адміністрації (далі – Наглядова рада) є консультативно-дорадчим органом при Полтавській обласній державній адміністрації, створеним з метою забезпечення громадського контролю за дотриманням прав підопічних та вихованців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установ, створення належних умов їх проживання, навчання, медичної та соціальної реабілітації, наданням розпорядниками інформації належного доступу до публічної інформації, координації діяльності громадських рад, створених при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установах системи органів праці та соціального захисту населення області, здійснення належного рівня співпраці органів виконавчої влади з інституціями громадянського суспільства у сфері соціального захисту населення.</w:t>
      </w:r>
    </w:p>
    <w:p w:rsidR="00907D86" w:rsidRDefault="00907D86" w:rsidP="00907D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 У своїй діяльності Наглядова рада керується Конституцією та законами України, указами Президента України, постановами Верховної Ради України, прийнятими відповідно до Конституції та законів України, актами Кабінету Міністрів України, а також цим Положенням.</w:t>
      </w:r>
    </w:p>
    <w:p w:rsidR="00907D86" w:rsidRDefault="00907D86" w:rsidP="00907D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Pr="006F73B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Основними завданнями Наглядової ради є: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координації та методичне забезпечення діяльності громадських рад, створених при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установах системи органів праці та соціального захисту населення області;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дієвого громадського контролю за діяльністю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 системи органів праці та соціального захисту населення;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забезпечення дотримання прав підопічних та вихованців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 системи органів праці та соціального захисту населення;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 врахуванню облдержадміністрацією громадської думки під час формування та реалізації державної політики у сфері соціального захисту населення.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Наглядова рада відповідно до покладених на неї завдань: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збирає, узагальнює та подає облдержадміністрації інформацію щодо пропозицій громадських організацій з питань діяльності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 системи органів праці та соціального захисту населення;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здійснює контроль за врахуванням пропозицій та зауважень громадських рад, а також дотриманням нормативно-правових актів, спрямованих на запобігання правопорушень, корупційних діянь у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установах системи органів праці та соціального захисту населення;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організовує і проводить семінари, конференції, ,,круглі столи</w:t>
      </w:r>
      <w:r w:rsidRPr="00857A7E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та інші заходи;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інформує громадськість про свою діяльність та сприяє висвітленню діяльності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 та громадських рад, створених при 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установах системи органів праці та соціального захисту населення.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Наглядова рада має право: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утворювати постійні та тимчасові робочі органи (комісії, експертні групи тощо);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до роботи Наглядової ради працівників органів виконавчої влади, органів місцевого самоврядування, представників вітчизняних, міжнародних експертних і наукових організацій, підприємств, установ і організацій (за згодою їх керівників), а також окремих фахівців;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отримувати в установленому порядку від органів виконавчої влади, органів місцевого самоврядування інформацію, необхідну для забезпечення діяльності Наглядової ради;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вносити на розгляд органів виконавчої влади та органів місцевого самоврядування пропозиції щодо удосконалення діяльності з питань, які стосуються діяльності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установ системи органів праці та соціального захисту населення, покращення умов проживання підопічних цих установ.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FC2E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засідання Наглядової ради можуть бути запрошені представники засобів масової інформації, громадських організацій, органів виконавчої влади, органів місцевого самоврядування, правоохоронних органів та громадяни.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 Організаційною формою роботи Наглядової ради є засідання, які проводяться в міру потреби, але не рідше одного разу на півріччя. Засідання Наглядової ради вважається правочинним, якщо на ньому присутні не менш як половина її складу. 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Рішення приймаються більшістю голосів присутніх на засіданні членів</w:t>
      </w:r>
      <w:r w:rsidRPr="00FC2E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Наглядової ради. За результатами засідання Наглядової ради оформляється протокол, який підписує голова та секретар Наглядової ради.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 Рішення Наглядової ради можуть надсилатися для розгляду органам виконавчої влади, структурним підрозділам облдержадміністрації, територіальним підрозділам центральних органів виконавчої влади.</w:t>
      </w:r>
    </w:p>
    <w:p w:rsidR="00907D86" w:rsidRDefault="00907D86" w:rsidP="00907D8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 Організаційно-технічне забезпечення діяльності Наглядової ради здійснюється Головним управлінням праці та соціального захисту населення облдержадміністрації.</w:t>
      </w:r>
    </w:p>
    <w:p w:rsidR="00907D86" w:rsidRDefault="00907D86" w:rsidP="00907D86">
      <w:pPr>
        <w:jc w:val="both"/>
        <w:rPr>
          <w:sz w:val="28"/>
          <w:szCs w:val="28"/>
          <w:lang w:val="uk-UA"/>
        </w:rPr>
      </w:pPr>
    </w:p>
    <w:p w:rsidR="00907D86" w:rsidRDefault="00907D86" w:rsidP="00907D86">
      <w:pPr>
        <w:jc w:val="both"/>
        <w:rPr>
          <w:sz w:val="28"/>
          <w:szCs w:val="28"/>
          <w:lang w:val="uk-UA"/>
        </w:rPr>
      </w:pPr>
    </w:p>
    <w:p w:rsidR="00907D86" w:rsidRDefault="00907D86" w:rsidP="00907D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  голови </w:t>
      </w:r>
      <w:r>
        <w:rPr>
          <w:sz w:val="28"/>
          <w:szCs w:val="28"/>
          <w:lang w:val="en-US"/>
        </w:rPr>
        <w:t>–</w:t>
      </w:r>
      <w:r>
        <w:rPr>
          <w:sz w:val="28"/>
          <w:szCs w:val="28"/>
          <w:lang w:val="uk-UA"/>
        </w:rPr>
        <w:t xml:space="preserve"> керівник</w:t>
      </w:r>
    </w:p>
    <w:p w:rsidR="00907D86" w:rsidRDefault="00907D86" w:rsidP="00907D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В.О.Пархоменко</w:t>
      </w:r>
      <w:r>
        <w:rPr>
          <w:sz w:val="28"/>
          <w:szCs w:val="28"/>
          <w:lang w:val="uk-UA"/>
        </w:rPr>
        <w:tab/>
      </w:r>
    </w:p>
    <w:p w:rsidR="00907D86" w:rsidRPr="00A8267D" w:rsidRDefault="00907D86" w:rsidP="00907D86">
      <w:pPr>
        <w:jc w:val="both"/>
        <w:rPr>
          <w:lang w:val="uk-UA"/>
        </w:rPr>
      </w:pPr>
    </w:p>
    <w:sectPr w:rsidR="00907D86" w:rsidRPr="00A8267D" w:rsidSect="00907D86">
      <w:pgSz w:w="11906" w:h="16838"/>
      <w:pgMar w:top="89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D86"/>
    <w:rsid w:val="00176FA5"/>
    <w:rsid w:val="00653798"/>
    <w:rsid w:val="00731B33"/>
    <w:rsid w:val="00907D86"/>
    <w:rsid w:val="00941447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CA2AF-6A8B-48C8-A6A7-65276CA4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D86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link w:val="DefaultParagraphFont"/>
    <w:rsid w:val="00907D86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ЗАТВЕРДЖЕНО</vt:lpstr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