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FB6" w:rsidRPr="002A6028" w:rsidRDefault="001D6FB6" w:rsidP="001D6FB6">
      <w:pPr>
        <w:tabs>
          <w:tab w:val="left" w:pos="5954"/>
        </w:tabs>
        <w:spacing w:line="360" w:lineRule="auto"/>
        <w:ind w:left="3960" w:firstLine="1080"/>
        <w:jc w:val="both"/>
        <w:rPr>
          <w:sz w:val="28"/>
          <w:szCs w:val="28"/>
          <w:lang w:val="uk-UA"/>
        </w:rPr>
      </w:pPr>
      <w:r w:rsidRPr="002A6028">
        <w:rPr>
          <w:sz w:val="28"/>
          <w:szCs w:val="28"/>
          <w:lang w:val="uk-UA"/>
        </w:rPr>
        <w:t>ЗАТВЕРДЖЕНО</w:t>
      </w:r>
    </w:p>
    <w:p w:rsidR="001D6FB6" w:rsidRPr="002A6028" w:rsidRDefault="001D6FB6" w:rsidP="001D6FB6">
      <w:pPr>
        <w:tabs>
          <w:tab w:val="left" w:pos="5940"/>
        </w:tabs>
        <w:ind w:left="3960" w:firstLine="1080"/>
        <w:jc w:val="both"/>
        <w:rPr>
          <w:sz w:val="28"/>
          <w:szCs w:val="28"/>
          <w:lang w:val="uk-UA"/>
        </w:rPr>
      </w:pPr>
      <w:r w:rsidRPr="002A6028">
        <w:rPr>
          <w:sz w:val="28"/>
          <w:szCs w:val="28"/>
          <w:lang w:val="uk-UA"/>
        </w:rPr>
        <w:t xml:space="preserve">Розпорядження голови </w:t>
      </w:r>
    </w:p>
    <w:p w:rsidR="001D6FB6" w:rsidRPr="00AC306A" w:rsidRDefault="001D6FB6" w:rsidP="001D6FB6">
      <w:pPr>
        <w:tabs>
          <w:tab w:val="left" w:pos="5940"/>
        </w:tabs>
        <w:spacing w:line="360" w:lineRule="auto"/>
        <w:ind w:left="3960" w:firstLine="1080"/>
        <w:rPr>
          <w:sz w:val="28"/>
          <w:szCs w:val="28"/>
        </w:rPr>
      </w:pPr>
      <w:r w:rsidRPr="002A6028">
        <w:rPr>
          <w:sz w:val="28"/>
          <w:szCs w:val="28"/>
          <w:lang w:val="uk-UA"/>
        </w:rPr>
        <w:t>облдер</w:t>
      </w:r>
      <w:r>
        <w:rPr>
          <w:sz w:val="28"/>
          <w:szCs w:val="28"/>
          <w:lang w:val="uk-UA"/>
        </w:rPr>
        <w:t>жадміністрації</w:t>
      </w:r>
    </w:p>
    <w:p w:rsidR="001D6FB6" w:rsidRPr="00600319" w:rsidRDefault="001D6FB6" w:rsidP="001D6FB6">
      <w:pPr>
        <w:tabs>
          <w:tab w:val="left" w:pos="5954"/>
        </w:tabs>
        <w:ind w:left="3960"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15.11.2011 № 444</w:t>
      </w:r>
    </w:p>
    <w:p w:rsidR="001D6FB6" w:rsidRPr="007175E9" w:rsidRDefault="001D6FB6" w:rsidP="001D6FB6">
      <w:pPr>
        <w:tabs>
          <w:tab w:val="left" w:pos="5954"/>
        </w:tabs>
        <w:jc w:val="both"/>
        <w:rPr>
          <w:sz w:val="28"/>
          <w:szCs w:val="28"/>
          <w:lang w:val="uk-UA"/>
        </w:rPr>
      </w:pPr>
    </w:p>
    <w:p w:rsidR="001D6FB6" w:rsidRPr="002A6028" w:rsidRDefault="001D6FB6" w:rsidP="001D6FB6">
      <w:pPr>
        <w:jc w:val="center"/>
        <w:rPr>
          <w:sz w:val="28"/>
          <w:szCs w:val="28"/>
          <w:lang w:val="uk-UA"/>
        </w:rPr>
      </w:pPr>
      <w:r w:rsidRPr="002A6028">
        <w:rPr>
          <w:sz w:val="28"/>
          <w:szCs w:val="28"/>
          <w:lang w:val="uk-UA"/>
        </w:rPr>
        <w:t>ПОЛОЖЕННЯ</w:t>
      </w:r>
    </w:p>
    <w:p w:rsidR="001D6FB6" w:rsidRPr="002A6028" w:rsidRDefault="001D6FB6" w:rsidP="001D6FB6">
      <w:pPr>
        <w:jc w:val="center"/>
        <w:rPr>
          <w:sz w:val="28"/>
          <w:szCs w:val="28"/>
          <w:lang w:val="uk-UA"/>
        </w:rPr>
      </w:pPr>
      <w:r w:rsidRPr="002A6028">
        <w:rPr>
          <w:sz w:val="28"/>
          <w:szCs w:val="28"/>
          <w:lang w:val="uk-UA"/>
        </w:rPr>
        <w:t>про архітектурно-містобудівну раду</w:t>
      </w:r>
    </w:p>
    <w:p w:rsidR="001D6FB6" w:rsidRPr="002A6028" w:rsidRDefault="001D6FB6" w:rsidP="001D6FB6">
      <w:pPr>
        <w:jc w:val="center"/>
        <w:rPr>
          <w:sz w:val="28"/>
          <w:szCs w:val="28"/>
          <w:lang w:val="uk-UA"/>
        </w:rPr>
      </w:pPr>
      <w:r w:rsidRPr="002A6028">
        <w:rPr>
          <w:sz w:val="28"/>
          <w:szCs w:val="28"/>
          <w:lang w:val="uk-UA"/>
        </w:rPr>
        <w:t>при управлінні містобудування та архітектури</w:t>
      </w:r>
    </w:p>
    <w:p w:rsidR="001D6FB6" w:rsidRPr="002A6028" w:rsidRDefault="001D6FB6" w:rsidP="001D6FB6">
      <w:pPr>
        <w:jc w:val="center"/>
        <w:rPr>
          <w:sz w:val="28"/>
          <w:szCs w:val="28"/>
          <w:lang w:val="uk-UA"/>
        </w:rPr>
      </w:pPr>
      <w:r w:rsidRPr="002A6028">
        <w:rPr>
          <w:sz w:val="28"/>
          <w:szCs w:val="28"/>
          <w:lang w:val="uk-UA"/>
        </w:rPr>
        <w:t xml:space="preserve"> облдержадміністрації</w:t>
      </w:r>
    </w:p>
    <w:p w:rsidR="001D6FB6" w:rsidRPr="002A6028" w:rsidRDefault="001D6FB6" w:rsidP="001D6FB6">
      <w:pPr>
        <w:jc w:val="both"/>
        <w:rPr>
          <w:sz w:val="28"/>
          <w:szCs w:val="28"/>
          <w:lang w:val="uk-UA"/>
        </w:rPr>
      </w:pPr>
    </w:p>
    <w:p w:rsidR="001D6FB6" w:rsidRPr="002A6028" w:rsidRDefault="001D6FB6" w:rsidP="001D6FB6">
      <w:pPr>
        <w:ind w:firstLine="709"/>
        <w:jc w:val="both"/>
        <w:rPr>
          <w:sz w:val="28"/>
          <w:szCs w:val="28"/>
          <w:lang w:val="uk-UA"/>
        </w:rPr>
      </w:pPr>
      <w:r w:rsidRPr="002A6028">
        <w:rPr>
          <w:sz w:val="28"/>
          <w:szCs w:val="28"/>
          <w:lang w:val="uk-UA"/>
        </w:rPr>
        <w:t>1. Загальні положення</w:t>
      </w:r>
    </w:p>
    <w:p w:rsidR="001D6FB6" w:rsidRPr="003F48B5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6028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Архітектурно-містобудівна рада (далі </w:t>
      </w:r>
      <w:r w:rsidRPr="001D6FB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A6028">
        <w:rPr>
          <w:rFonts w:ascii="Times New Roman" w:hAnsi="Times New Roman" w:cs="Times New Roman"/>
          <w:sz w:val="28"/>
          <w:szCs w:val="28"/>
          <w:lang w:val="uk-UA"/>
        </w:rPr>
        <w:t xml:space="preserve"> рада) є дорадчим органом при управлінні містобудування та архітектури облдержадміністрації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для</w:t>
      </w:r>
      <w:r w:rsidRPr="003F4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професійного, колегіального розгляду й обговорення містобудівних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архітектурних та інженерних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рішень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містобудівної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проектної документації. Рада діє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громадських засадах.</w:t>
      </w:r>
    </w:p>
    <w:p w:rsidR="001D6FB6" w:rsidRPr="003F48B5" w:rsidRDefault="001D6FB6" w:rsidP="001D6FB6">
      <w:pPr>
        <w:ind w:firstLine="709"/>
        <w:jc w:val="both"/>
        <w:rPr>
          <w:sz w:val="28"/>
          <w:szCs w:val="28"/>
          <w:lang w:val="uk-UA"/>
        </w:rPr>
      </w:pPr>
      <w:r w:rsidRPr="002A6028">
        <w:rPr>
          <w:sz w:val="28"/>
          <w:szCs w:val="28"/>
          <w:lang w:val="uk-UA"/>
        </w:rPr>
        <w:t xml:space="preserve">Рада утворюється </w:t>
      </w:r>
      <w:r>
        <w:rPr>
          <w:sz w:val="28"/>
          <w:szCs w:val="28"/>
          <w:lang w:val="uk-UA"/>
        </w:rPr>
        <w:t>розпорядженням</w:t>
      </w:r>
      <w:r w:rsidRPr="002A6028">
        <w:rPr>
          <w:sz w:val="28"/>
          <w:szCs w:val="28"/>
          <w:lang w:val="uk-UA"/>
        </w:rPr>
        <w:t xml:space="preserve"> облдержадміністрації і постійно діє при управлінні містобудування та архі</w:t>
      </w:r>
      <w:r>
        <w:rPr>
          <w:sz w:val="28"/>
          <w:szCs w:val="28"/>
          <w:lang w:val="uk-UA"/>
        </w:rPr>
        <w:t>тектури облдержадміністрації.</w:t>
      </w:r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своїй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діяльності Рада керується Конституцією України та закона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ми України, а також указами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резидента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України та постановами Верховної Ради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України, прийнятими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Конституції і</w:t>
      </w:r>
      <w:r w:rsidRPr="003F4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ів України, актами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Кабінету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Міністрів України,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наказами Міністерства регіонального розвитку, будівництва та жит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лово-комунального господарства України,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актами органів місцевої влади, а також цим Положенням.</w:t>
      </w:r>
    </w:p>
    <w:p w:rsidR="001D6FB6" w:rsidRPr="003F48B5" w:rsidRDefault="001D6FB6" w:rsidP="001D6F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A6028">
        <w:rPr>
          <w:sz w:val="28"/>
          <w:szCs w:val="28"/>
          <w:lang w:val="uk-UA"/>
        </w:rPr>
        <w:t>Рада здійснює свою діяльність на основі добровільності, рівноправності її членів.</w:t>
      </w:r>
    </w:p>
    <w:p w:rsidR="001D6FB6" w:rsidRPr="00AC306A" w:rsidRDefault="001D6FB6" w:rsidP="001D6FB6">
      <w:pPr>
        <w:pStyle w:val="HTMLPreformatted"/>
        <w:tabs>
          <w:tab w:val="clear" w:pos="916"/>
          <w:tab w:val="left" w:pos="709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 Основні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завдання Ради</w:t>
      </w:r>
    </w:p>
    <w:p w:rsidR="001D6FB6" w:rsidRPr="00AC306A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23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Рада згідно з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надани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ми чинним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законодавством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повноваженнями у сфері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містобудув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ання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архітектури розглядає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містобудівну та проектну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документа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цію і надає рекомендації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пит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ань планування, забудови та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ншого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користання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територій відповідному органу містобудування та архітектури, а саме:</w:t>
      </w:r>
      <w:bookmarkStart w:id="1" w:name="24"/>
      <w:bookmarkEnd w:id="1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F4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визначення державних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інтересі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у проектах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містобудівної документації (Генеральна схема планування території України; схеми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планування території на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регіональному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рівні;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генеральні плани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населених пунктів; детальні плани територій, проекти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зонування територій), а також історико-архітектурних опорних планів;</w:t>
      </w:r>
    </w:p>
    <w:p w:rsidR="001D6FB6" w:rsidRDefault="001D6FB6" w:rsidP="001D6FB6">
      <w:pPr>
        <w:pStyle w:val="HTMLPreformatted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2" w:name="25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будівництва об'єктів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(будинкі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і споруд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житлового,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громадського, комунального,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промислового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іншого призначення,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об'єктів садово-паркової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ландшафтної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архітектури,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онументального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 монументально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декоративного мистецтва, а також об'єктів реставрації, пристосування пам'яток архітектури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містобудування);</w:t>
      </w:r>
    </w:p>
    <w:p w:rsidR="001D6FB6" w:rsidRDefault="001D6FB6" w:rsidP="001D6FB6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D6FB6" w:rsidRDefault="001D6FB6" w:rsidP="001D6FB6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D6FB6" w:rsidRDefault="001D6FB6" w:rsidP="001D6FB6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D6FB6" w:rsidRPr="002A6028" w:rsidRDefault="001D6FB6" w:rsidP="001D6FB6">
      <w:pPr>
        <w:pStyle w:val="HTMLPreformatted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3" w:name="26"/>
      <w:bookmarkEnd w:id="3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арх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ітектурно-планувальних рішень об'єктів будівництва,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 розміщуються на територіях, на які не розроблені проекти зонування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детальні плани територій (на період, визначений пунктом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6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розділу V „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Прикінцеві положення" Закону України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Pr="009B5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регулювання містобудівної діяльності").</w:t>
      </w:r>
      <w:bookmarkStart w:id="4" w:name="27"/>
      <w:bookmarkEnd w:id="4"/>
    </w:p>
    <w:p w:rsidR="001D6FB6" w:rsidRPr="003F48B5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 розгляді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містобудівно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ї та проектної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документації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рекомендації надаються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підставі їх оцінки відповідно до вимог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законодавства, державних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будіве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льних норм,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особливостей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містобудівної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ситуац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ії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(архіте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ктурно-планувальних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рішень, техніко-економічних показників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архітектурної виразності).</w:t>
      </w:r>
    </w:p>
    <w:p w:rsidR="001D6FB6" w:rsidRPr="003F48B5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5" w:name="28"/>
      <w:bookmarkEnd w:id="5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Результати розгляду Радою проектів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містобудівної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документації враховуються під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подальшого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доопрацювання та затвердження таких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оектів.</w:t>
      </w:r>
    </w:p>
    <w:p w:rsidR="001D6FB6" w:rsidRPr="003F48B5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6" w:name="29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Результати розгляду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Радою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проектів будівництва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мають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виключно рекомендаційний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характер і не можуть вимагатися під час погодження та затвердження таких проектів.</w:t>
      </w:r>
      <w:bookmarkStart w:id="7" w:name="30"/>
      <w:bookmarkEnd w:id="7"/>
    </w:p>
    <w:p w:rsidR="001D6FB6" w:rsidRPr="003F48B5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рекомендації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питань планування,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забудови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іншого використання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територій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межах історичних ареалів населених місць і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зон охорони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пам'яток архітектури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містобудування з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урахуванням рішень консультативних рад з питань охорони культурної спадщини.</w:t>
      </w:r>
      <w:bookmarkStart w:id="8" w:name="31"/>
      <w:bookmarkEnd w:id="8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3. Склад і структура Ради </w:t>
      </w:r>
      <w:bookmarkStart w:id="9" w:name="32"/>
      <w:bookmarkEnd w:id="9"/>
    </w:p>
    <w:p w:rsidR="001D6FB6" w:rsidRPr="003F48B5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Головою Ради є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начальник управління містобудування та архітектури Полтавської облдержадміністрації.</w:t>
      </w:r>
      <w:bookmarkStart w:id="10" w:name="33"/>
      <w:bookmarkEnd w:id="10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 складу Ради входять оди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 заступник голови,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секретар,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фахівці у сфері будівництва,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будування та архітектури,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мають відповідну вищу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осві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ту та досвід роботи в цій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сфері, представники відповідних органів вик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онавчої влади,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творчих спілок (за згодою).</w:t>
      </w:r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11" w:name="34"/>
      <w:bookmarkEnd w:id="11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Заступник Голови Ради та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її секретар призначаються з числа посадових осіб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управління містобудування та архітектури облдержадміністрації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bookmarkStart w:id="12" w:name="35"/>
      <w:bookmarkEnd w:id="12"/>
    </w:p>
    <w:p w:rsidR="001D6FB6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Фахівці у сфері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буді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вництва, містобудування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архітектури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кількістю повинні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ановити не менше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п'ятдесяти відсотків від загальної кількості членів Ради.</w:t>
      </w:r>
      <w:bookmarkStart w:id="13" w:name="36"/>
      <w:bookmarkEnd w:id="13"/>
    </w:p>
    <w:p w:rsidR="001D6FB6" w:rsidRPr="005357B9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Персональний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склад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формується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Головою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  <w:t>урахуванням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пропозицій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територіальних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організацій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Національної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  <w:t>спілки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архітекторів України та затверджується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наказом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управління містобудування та архітектури облдержадміністрації</w:t>
      </w:r>
      <w:r w:rsidRPr="0053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1D6FB6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6D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76D4">
        <w:rPr>
          <w:rFonts w:ascii="Times New Roman" w:hAnsi="Times New Roman" w:cs="Times New Roman"/>
          <w:sz w:val="28"/>
          <w:szCs w:val="28"/>
          <w:lang w:val="uk-UA"/>
        </w:rPr>
        <w:t>разі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76D4">
        <w:rPr>
          <w:rFonts w:ascii="Times New Roman" w:hAnsi="Times New Roman" w:cs="Times New Roman"/>
          <w:sz w:val="28"/>
          <w:szCs w:val="28"/>
          <w:lang w:val="uk-UA"/>
        </w:rPr>
        <w:t>неспроможності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76D4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76D4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містах та районах області, </w:t>
      </w:r>
      <w:r w:rsidRPr="002F76D4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76D4">
        <w:rPr>
          <w:rFonts w:ascii="Times New Roman" w:hAnsi="Times New Roman" w:cs="Times New Roman"/>
          <w:sz w:val="28"/>
          <w:szCs w:val="28"/>
          <w:lang w:val="uk-UA"/>
        </w:rPr>
        <w:t>з пунктами 3.2,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76D4">
        <w:rPr>
          <w:rFonts w:ascii="Times New Roman" w:hAnsi="Times New Roman" w:cs="Times New Roman"/>
          <w:sz w:val="28"/>
          <w:szCs w:val="28"/>
          <w:lang w:val="uk-UA"/>
        </w:rPr>
        <w:t>3.3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„</w:t>
      </w:r>
      <w:r w:rsidRPr="009B5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76D4">
        <w:rPr>
          <w:rFonts w:ascii="Times New Roman" w:hAnsi="Times New Roman" w:cs="Times New Roman"/>
          <w:sz w:val="28"/>
          <w:szCs w:val="28"/>
          <w:lang w:val="uk-UA"/>
        </w:rPr>
        <w:t xml:space="preserve">Типового положення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про архітектурно-містобудівні ради</w:t>
      </w:r>
      <w:r w:rsidRPr="009B5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r w:rsidRPr="002F76D4">
        <w:rPr>
          <w:rFonts w:ascii="Times New Roman" w:hAnsi="Times New Roman" w:cs="Times New Roman"/>
          <w:sz w:val="28"/>
          <w:szCs w:val="28"/>
          <w:lang w:val="uk-UA"/>
        </w:rPr>
        <w:t xml:space="preserve">питання розглядаються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архітектурно-містобудівною радою при управлінні містобудування та архітектури облдержадміністрації</w:t>
      </w:r>
      <w:r w:rsidRPr="002F76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6FB6" w:rsidRPr="007175E9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виникнення спірних питань при обговоренні проектів будівництва та містобудівної документації, питання розглядаються архітектурно-містобудівною радою при управлінні містобудування та архітектури облдержадміністрації.</w:t>
      </w:r>
    </w:p>
    <w:p w:rsidR="001D6FB6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14" w:name="38"/>
      <w:bookmarkEnd w:id="14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4.</w:t>
      </w:r>
      <w:r w:rsidRPr="00AC3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Організаційні засади членства у Раді </w:t>
      </w:r>
      <w:bookmarkStart w:id="15" w:name="39"/>
      <w:bookmarkEnd w:id="15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Члени Ради беруть участь у її роботі на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громадських засадах. </w:t>
      </w:r>
      <w:bookmarkStart w:id="16" w:name="40"/>
      <w:bookmarkEnd w:id="16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Члени Ради мають право:</w:t>
      </w:r>
    </w:p>
    <w:p w:rsidR="001D6FB6" w:rsidRPr="002A6028" w:rsidRDefault="001D6FB6" w:rsidP="001D6FB6">
      <w:pPr>
        <w:pStyle w:val="HTMLPreformatte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17" w:name="41"/>
      <w:bookmarkEnd w:id="17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заздалегідь бути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поінформовани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ми про план роботи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Ради, порядок денний засідань та про питання,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запропоновані до розгляду на засіданні Ради;</w:t>
      </w:r>
    </w:p>
    <w:p w:rsidR="001D6FB6" w:rsidRPr="002A6028" w:rsidRDefault="001D6FB6" w:rsidP="001D6FB6">
      <w:pPr>
        <w:pStyle w:val="HTMLPreformatte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18" w:name="42"/>
      <w:bookmarkEnd w:id="18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брати участь у розгляді питань, включених до порядку денного,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обговорювати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будівні, архітектурно-технічні та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інженерні проектні рішення, висловлювати свої зауваження та пропозиції.</w:t>
      </w:r>
      <w:bookmarkStart w:id="19" w:name="43"/>
      <w:bookmarkEnd w:id="19"/>
    </w:p>
    <w:p w:rsidR="001D6FB6" w:rsidRPr="003F48B5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 розгляді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містобудівн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ої та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проектної документації члени Ради зобов'язані керуватися вимогами чинно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законодавства, державних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будівельних норм, стандартів і правил.</w:t>
      </w:r>
      <w:bookmarkStart w:id="20" w:name="44"/>
      <w:bookmarkEnd w:id="20"/>
    </w:p>
    <w:p w:rsidR="001D6FB6" w:rsidRPr="003F48B5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Голова Ради,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його заступн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ик, секретар,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члени не мають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права брати участь в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обговоренні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засідан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нях питань щодо проектування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об'єктів містобудуван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ня, у розробленні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яких вони брали участь.</w:t>
      </w:r>
      <w:bookmarkStart w:id="21" w:name="45"/>
      <w:bookmarkEnd w:id="21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Члени Ради не можуть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ати участь в обговоренні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голосуванні щодо проектів,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авторам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 яких є їх близькі родичі,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також у випадках, коли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проекти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розробляються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працівниками проектної установи, у якій вони працюють. </w:t>
      </w:r>
      <w:bookmarkStart w:id="22" w:name="46"/>
      <w:bookmarkEnd w:id="22"/>
    </w:p>
    <w:p w:rsidR="001D6FB6" w:rsidRPr="003F48B5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Рада проводить свою діяльність на засадах гласності.</w:t>
      </w:r>
      <w:bookmarkStart w:id="23" w:name="47"/>
      <w:bookmarkEnd w:id="23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5. Організація роботи Ради</w:t>
      </w:r>
      <w:bookmarkStart w:id="24" w:name="48"/>
      <w:bookmarkEnd w:id="24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Формою роботи Ради є засід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ання,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 проводяться згідно 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планом та порядком денним, які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кладаються її секретарем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затверджуються Головою Ради.</w:t>
      </w:r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25" w:name="49"/>
      <w:bookmarkEnd w:id="25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Позачергові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засідання Ради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скл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икаються за рішенням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Голови Ради.</w:t>
      </w:r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26" w:name="50"/>
      <w:bookmarkEnd w:id="26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Засідання Ради є відкритими.</w:t>
      </w:r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27" w:name="51"/>
      <w:bookmarkEnd w:id="27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Рада розглядає питання,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вклю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чені до порядку денного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поданням замовника проекту.</w:t>
      </w:r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28" w:name="52"/>
      <w:bookmarkEnd w:id="28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Порядок денний формується за зверненнями замовників.</w:t>
      </w:r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29" w:name="53"/>
      <w:bookmarkEnd w:id="29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Подання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Раді проектних та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монстраційних матеріалів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розгляду та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їх технічний супровід здійснюються замовником або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його дорученням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автором-розробнико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 (тиражування,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копіювання, інформаційні та довідкові матеріали тощо).</w:t>
      </w:r>
    </w:p>
    <w:p w:rsidR="001D6FB6" w:rsidRPr="003F48B5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30" w:name="54"/>
      <w:bookmarkEnd w:id="3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Склад матеріалів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винен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повідати вимогам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державних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будівельних норм щодо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проектної документації відповідної стадії проектування.</w:t>
      </w:r>
      <w:bookmarkStart w:id="31" w:name="55"/>
      <w:bookmarkEnd w:id="31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Засідання Ради веде Голова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а за його відсутності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заступник Голови. Підготовку матеріалів для розгляду на засіданнях забезпечує секретар Ради.</w:t>
      </w:r>
    </w:p>
    <w:p w:rsidR="001D6FB6" w:rsidRPr="00746C3F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2" w:name="56"/>
      <w:bookmarkEnd w:id="32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Засідання Ради вважається правомочним, якщо на ньому присутні більш як половина його членів.</w:t>
      </w:r>
      <w:bookmarkStart w:id="33" w:name="57"/>
      <w:bookmarkEnd w:id="33"/>
    </w:p>
    <w:p w:rsidR="001D6FB6" w:rsidRPr="00746C3F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Організаційне забезпечення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роботи Ради покладається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управління містобудування та архітектури облдержадміністрації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bookmarkStart w:id="34" w:name="58"/>
      <w:bookmarkEnd w:id="34"/>
    </w:p>
    <w:p w:rsidR="001D6FB6" w:rsidRPr="00746C3F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Рада розглядає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матеріали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проекту, подані за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десять робочих днів до її засідання.</w:t>
      </w:r>
      <w:bookmarkStart w:id="35" w:name="59"/>
      <w:bookmarkEnd w:id="35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Для розгляду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проектів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містобудівної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документації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управління містобудування та архітектури облдержадміністрації,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 якому функціонує Рада, надсилає за 20 робочих днів до її засідання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розділ проекту містобудівної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кументації (за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напрямом), що планується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для розг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ляду радою,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органам земельних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ресурсів, охорони культурної спадщини, охорони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праці,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енергозбереження,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пожеж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ної, техногенної,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ядерної та радіаційної безпеки,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державної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санітарно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-епідеміологічної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служби,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природоохоронному та іншим органам, яким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відповідно до закону належа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ть повноваження щодо розгляду містобудівної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документації, для отримання їх висновків.</w:t>
      </w:r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36" w:name="60"/>
      <w:bookmarkEnd w:id="36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Письмові висновки додаються до матеріалів засідання Ради.</w:t>
      </w:r>
    </w:p>
    <w:p w:rsidR="001D6FB6" w:rsidRPr="00746C3F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7" w:name="61"/>
      <w:bookmarkEnd w:id="37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разі ненадання таких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вків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проекту містобудівної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документації протягом 20 днів з дня надходження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розділу містобудівної документації такий проект вважається погодженим цими органами.</w:t>
      </w:r>
      <w:bookmarkStart w:id="38" w:name="62"/>
      <w:bookmarkEnd w:id="38"/>
    </w:p>
    <w:p w:rsidR="001D6FB6" w:rsidRPr="00746C3F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засіданні Ради доповідає автор проекту.</w:t>
      </w:r>
      <w:bookmarkStart w:id="39" w:name="63"/>
      <w:bookmarkEnd w:id="39"/>
    </w:p>
    <w:p w:rsidR="001D6FB6" w:rsidRPr="00746C3F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проекти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містобудівної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документації та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проекти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будівництва IV, V категорій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дності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готується рецензія (на замовлення замовника проектною орган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ізацією,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замовник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обирає самостійно). Рецензія подається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письмовому вигляді.</w:t>
      </w:r>
      <w:bookmarkStart w:id="40" w:name="64"/>
      <w:bookmarkEnd w:id="40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 на засіданні Ради проектів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реконструкції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об'єктів будівництва, щодо яких діють майнові права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автора,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проводиться за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участю автора або колективу авторів відповідно до Закону України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авторське право і суміжні права".</w:t>
      </w:r>
      <w:bookmarkStart w:id="41" w:name="65"/>
      <w:bookmarkEnd w:id="41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Пропозиції та рекомендації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вважаються схваленими,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якщо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них проголосувало більш як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половина присутніх на засіданні членів Ради.</w:t>
      </w:r>
    </w:p>
    <w:p w:rsidR="001D6FB6" w:rsidRPr="00746C3F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2" w:name="66"/>
      <w:bookmarkEnd w:id="4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разі рівного розподілу голосів вирішальним є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голос головуючого на засіданні.</w:t>
      </w:r>
      <w:bookmarkStart w:id="43" w:name="67"/>
      <w:bookmarkEnd w:id="43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результатами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й обговорення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питань сек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ретарем складається протокол,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який підписується головуючим на засіданні та секретарем. </w:t>
      </w:r>
      <w:bookmarkStart w:id="44" w:name="68"/>
      <w:bookmarkEnd w:id="44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 протоколу включаються:</w:t>
      </w:r>
    </w:p>
    <w:p w:rsidR="001D6FB6" w:rsidRPr="002A6028" w:rsidRDefault="001D6FB6" w:rsidP="001D6FB6">
      <w:pPr>
        <w:pStyle w:val="HTMLPreformatted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45" w:name="69"/>
      <w:bookmarkEnd w:id="45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поіменний перелік присутніх членів Ради та запрошених осіб;</w:t>
      </w:r>
    </w:p>
    <w:p w:rsidR="001D6FB6" w:rsidRPr="002A6028" w:rsidRDefault="001D6FB6" w:rsidP="001D6FB6">
      <w:pPr>
        <w:pStyle w:val="HTMLPreformatted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46" w:name="70"/>
      <w:bookmarkEnd w:id="46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питання, які розглядаються на засіданні;</w:t>
      </w:r>
    </w:p>
    <w:p w:rsidR="001D6FB6" w:rsidRPr="002A6028" w:rsidRDefault="001D6FB6" w:rsidP="001D6FB6">
      <w:pPr>
        <w:pStyle w:val="HTMLPreformatted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47" w:name="71"/>
      <w:bookmarkEnd w:id="47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відомості про замовника;</w:t>
      </w:r>
    </w:p>
    <w:p w:rsidR="001D6FB6" w:rsidRPr="002A6028" w:rsidRDefault="001D6FB6" w:rsidP="001D6FB6">
      <w:pPr>
        <w:pStyle w:val="HTMLPreformatted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48" w:name="72"/>
      <w:bookmarkEnd w:id="48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дані щодо автора-розробника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ередпроектної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проектної документації, доповідача, рецензента та тих, хто виступає;</w:t>
      </w:r>
    </w:p>
    <w:p w:rsidR="001D6FB6" w:rsidRPr="002A6028" w:rsidRDefault="001D6FB6" w:rsidP="001D6FB6">
      <w:pPr>
        <w:pStyle w:val="HTMLPreformatted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49" w:name="73"/>
      <w:bookmarkEnd w:id="49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разі необхідності: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основні характеристики об'єкта, перелік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вихідних даних (основних),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рішен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ня про відведення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земельної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ділянки (для об'єктів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будівництва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), особливі умови,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основні 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сновки щодо відповідності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хідним даним, стислий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зміст обговорень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відображенням позицій, висловлювань щодо питання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остаточними рекомендаціями Ради. </w:t>
      </w:r>
      <w:bookmarkStart w:id="50" w:name="74"/>
      <w:bookmarkEnd w:id="50"/>
    </w:p>
    <w:p w:rsidR="001D6FB6" w:rsidRPr="002A6028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Протокол складається 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отягом 5 робочих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днів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дня проведення відповідного засідання Ради.</w:t>
      </w:r>
      <w:bookmarkStart w:id="51" w:name="75"/>
      <w:bookmarkEnd w:id="51"/>
    </w:p>
    <w:p w:rsidR="001D6FB6" w:rsidRPr="004519AC" w:rsidRDefault="001D6FB6" w:rsidP="001D6FB6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Член Ради, який не підтримує пропозиції (рекомендації), може викласти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2A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письмовій формі свою окрему думку, що додається до протоколу засідання.</w:t>
      </w:r>
    </w:p>
    <w:p w:rsidR="001D6FB6" w:rsidRPr="00C050F4" w:rsidRDefault="001D6FB6" w:rsidP="001D6FB6">
      <w:pPr>
        <w:jc w:val="both"/>
        <w:rPr>
          <w:sz w:val="28"/>
          <w:szCs w:val="28"/>
          <w:lang w:val="uk-UA"/>
        </w:rPr>
      </w:pPr>
    </w:p>
    <w:p w:rsidR="001D6FB6" w:rsidRPr="002A6028" w:rsidRDefault="001D6FB6" w:rsidP="001D6FB6">
      <w:pPr>
        <w:rPr>
          <w:sz w:val="28"/>
          <w:lang w:val="uk-UA"/>
        </w:rPr>
      </w:pPr>
      <w:r w:rsidRPr="002A6028">
        <w:rPr>
          <w:sz w:val="28"/>
          <w:lang w:val="uk-UA"/>
        </w:rPr>
        <w:t>Заступник голови-керівник апарату</w:t>
      </w:r>
    </w:p>
    <w:p w:rsidR="00731B33" w:rsidRDefault="001D6FB6" w:rsidP="001D6FB6">
      <w:r w:rsidRPr="002A6028">
        <w:rPr>
          <w:sz w:val="28"/>
          <w:lang w:val="uk-UA"/>
        </w:rPr>
        <w:t>облдержад</w:t>
      </w:r>
      <w:r>
        <w:rPr>
          <w:sz w:val="28"/>
          <w:lang w:val="uk-UA"/>
        </w:rPr>
        <w:t>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В.О. Пархоменко</w: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4B32"/>
    <w:multiLevelType w:val="hybridMultilevel"/>
    <w:tmpl w:val="08C82402"/>
    <w:lvl w:ilvl="0" w:tplc="549A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016"/>
    <w:multiLevelType w:val="hybridMultilevel"/>
    <w:tmpl w:val="4B44F6FA"/>
    <w:lvl w:ilvl="0" w:tplc="549A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A0A6E"/>
    <w:multiLevelType w:val="hybridMultilevel"/>
    <w:tmpl w:val="BED0A88E"/>
    <w:lvl w:ilvl="0" w:tplc="549A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6FB6"/>
    <w:rsid w:val="001121AE"/>
    <w:rsid w:val="00176FA5"/>
    <w:rsid w:val="001D6FB6"/>
    <w:rsid w:val="00653798"/>
    <w:rsid w:val="00731B33"/>
    <w:rsid w:val="00BB440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AD9BE-23AD-4FB6-8B34-0430AD2F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FB6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link w:val="HTMLPreformattedChar"/>
    <w:unhideWhenUsed/>
    <w:rsid w:val="001D6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D6FB6"/>
    <w:rPr>
      <w:rFonts w:ascii="Courier New" w:hAnsi="Courier New" w:cs="Courier New"/>
      <w:lang w:val="ru-RU" w:eastAsia="ru-RU" w:bidi="ar-SA"/>
    </w:rPr>
  </w:style>
  <w:style w:type="paragraph" w:customStyle="1" w:styleId="a">
    <w:name w:val="Знак Знак Знак"/>
    <w:basedOn w:val="Normal"/>
    <w:link w:val="DefaultParagraphFont"/>
    <w:rsid w:val="001D6FB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