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6990" w:rsidRPr="001B1D95" w:rsidRDefault="00466990" w:rsidP="00466990">
      <w:pPr>
        <w:ind w:left="6120"/>
        <w:rPr>
          <w:sz w:val="28"/>
          <w:szCs w:val="28"/>
        </w:rPr>
      </w:pPr>
      <w:r>
        <w:rPr>
          <w:sz w:val="28"/>
          <w:szCs w:val="28"/>
        </w:rPr>
        <w:t>ЗАТВЕРДЖЕНО</w:t>
      </w:r>
    </w:p>
    <w:p w:rsidR="00466990" w:rsidRDefault="00466990" w:rsidP="00466990">
      <w:pPr>
        <w:ind w:left="6120"/>
        <w:rPr>
          <w:sz w:val="28"/>
          <w:szCs w:val="28"/>
        </w:rPr>
      </w:pPr>
      <w:r w:rsidRPr="001B1D95">
        <w:rPr>
          <w:sz w:val="28"/>
          <w:szCs w:val="28"/>
        </w:rPr>
        <w:t>Розпорядження голови</w:t>
      </w:r>
    </w:p>
    <w:p w:rsidR="00466990" w:rsidRDefault="00466990" w:rsidP="00466990">
      <w:pPr>
        <w:ind w:left="6120"/>
        <w:rPr>
          <w:sz w:val="28"/>
          <w:szCs w:val="28"/>
        </w:rPr>
      </w:pPr>
      <w:r>
        <w:rPr>
          <w:sz w:val="28"/>
          <w:szCs w:val="28"/>
        </w:rPr>
        <w:t>облдержадміністрації</w:t>
      </w:r>
    </w:p>
    <w:p w:rsidR="00466990" w:rsidRPr="001B1D95" w:rsidRDefault="00466990" w:rsidP="00466990">
      <w:pPr>
        <w:ind w:left="6120"/>
        <w:rPr>
          <w:sz w:val="28"/>
          <w:szCs w:val="28"/>
        </w:rPr>
      </w:pPr>
      <w:r>
        <w:rPr>
          <w:sz w:val="28"/>
          <w:szCs w:val="28"/>
        </w:rPr>
        <w:t>19.01.2011 №12</w:t>
      </w:r>
    </w:p>
    <w:p w:rsidR="00466990" w:rsidRDefault="00466990" w:rsidP="00466990">
      <w:pPr>
        <w:pStyle w:val="Heading3"/>
        <w:jc w:val="center"/>
      </w:pPr>
    </w:p>
    <w:p w:rsidR="00466990" w:rsidRPr="00921B91" w:rsidRDefault="00466990" w:rsidP="00466990">
      <w:pPr>
        <w:pStyle w:val="Heading3"/>
        <w:jc w:val="center"/>
        <w:rPr>
          <w:rFonts w:ascii="Times New Roman" w:hAnsi="Times New Roman" w:cs="Times New Roman"/>
          <w:b/>
          <w:bCs/>
        </w:rPr>
      </w:pPr>
      <w:r w:rsidRPr="00921B91">
        <w:rPr>
          <w:rFonts w:ascii="Times New Roman" w:hAnsi="Times New Roman" w:cs="Times New Roman"/>
          <w:b/>
          <w:bCs/>
        </w:rPr>
        <w:t xml:space="preserve">ЗАХОДИ </w:t>
      </w:r>
      <w:r w:rsidRPr="00921B91">
        <w:rPr>
          <w:rFonts w:ascii="Times New Roman" w:hAnsi="Times New Roman" w:cs="Times New Roman"/>
          <w:b/>
          <w:bCs/>
        </w:rPr>
        <w:br/>
        <w:t xml:space="preserve">щодо збільшення надходжень до місцевих бюджетів, </w:t>
      </w:r>
    </w:p>
    <w:p w:rsidR="00466990" w:rsidRPr="00921B91" w:rsidRDefault="00466990" w:rsidP="00466990">
      <w:pPr>
        <w:pStyle w:val="Heading3"/>
        <w:jc w:val="center"/>
        <w:rPr>
          <w:rFonts w:ascii="Times New Roman" w:hAnsi="Times New Roman" w:cs="Times New Roman"/>
          <w:b/>
          <w:bCs/>
        </w:rPr>
      </w:pPr>
      <w:r w:rsidRPr="00921B91">
        <w:rPr>
          <w:rFonts w:ascii="Times New Roman" w:hAnsi="Times New Roman" w:cs="Times New Roman"/>
          <w:b/>
          <w:bCs/>
        </w:rPr>
        <w:t xml:space="preserve">економного і раціонального використання коштів, </w:t>
      </w:r>
    </w:p>
    <w:p w:rsidR="00466990" w:rsidRPr="00921B91" w:rsidRDefault="00466990" w:rsidP="00466990">
      <w:pPr>
        <w:pStyle w:val="Heading3"/>
        <w:jc w:val="center"/>
        <w:rPr>
          <w:rFonts w:ascii="Times New Roman" w:hAnsi="Times New Roman" w:cs="Times New Roman"/>
          <w:b/>
          <w:bCs/>
        </w:rPr>
      </w:pPr>
      <w:r w:rsidRPr="00921B91">
        <w:rPr>
          <w:rFonts w:ascii="Times New Roman" w:hAnsi="Times New Roman" w:cs="Times New Roman"/>
          <w:b/>
          <w:bCs/>
        </w:rPr>
        <w:t xml:space="preserve">здійснення видатків місцевих бюджетів </w:t>
      </w:r>
    </w:p>
    <w:p w:rsidR="00466990" w:rsidRDefault="00466990" w:rsidP="00466990">
      <w:pPr>
        <w:pStyle w:val="Heading3"/>
        <w:jc w:val="center"/>
        <w:rPr>
          <w:rFonts w:ascii="Times New Roman" w:hAnsi="Times New Roman" w:cs="Times New Roman"/>
          <w:b/>
          <w:bCs/>
        </w:rPr>
      </w:pPr>
      <w:r w:rsidRPr="00921B91">
        <w:rPr>
          <w:rFonts w:ascii="Times New Roman" w:hAnsi="Times New Roman" w:cs="Times New Roman"/>
          <w:b/>
          <w:bCs/>
        </w:rPr>
        <w:t>у межах наявного фінансового ресурсу на 2011 рік</w:t>
      </w:r>
    </w:p>
    <w:p w:rsidR="00466990" w:rsidRPr="00921B91" w:rsidRDefault="00466990" w:rsidP="00466990"/>
    <w:tbl>
      <w:tblPr>
        <w:tblW w:w="9648" w:type="dxa"/>
        <w:tblLook w:val="01E0" w:firstRow="1" w:lastRow="1" w:firstColumn="1" w:lastColumn="1" w:noHBand="0" w:noVBand="0"/>
      </w:tblPr>
      <w:tblGrid>
        <w:gridCol w:w="594"/>
        <w:gridCol w:w="4194"/>
        <w:gridCol w:w="1800"/>
        <w:gridCol w:w="3060"/>
      </w:tblGrid>
      <w:tr w:rsidR="00466990" w:rsidRPr="00F30DA7">
        <w:trPr>
          <w:trHeight w:val="934"/>
        </w:trPr>
        <w:tc>
          <w:tcPr>
            <w:tcW w:w="594"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tabs>
                <w:tab w:val="num" w:pos="360"/>
              </w:tabs>
              <w:jc w:val="center"/>
              <w:rPr>
                <w:sz w:val="28"/>
                <w:szCs w:val="28"/>
              </w:rPr>
            </w:pPr>
          </w:p>
          <w:p w:rsidR="00466990" w:rsidRPr="00F30DA7" w:rsidRDefault="00466990" w:rsidP="00466990">
            <w:pPr>
              <w:tabs>
                <w:tab w:val="num" w:pos="360"/>
              </w:tabs>
              <w:jc w:val="center"/>
              <w:rPr>
                <w:sz w:val="28"/>
                <w:szCs w:val="28"/>
              </w:rPr>
            </w:pPr>
            <w:r w:rsidRPr="00F30DA7">
              <w:rPr>
                <w:sz w:val="28"/>
                <w:szCs w:val="28"/>
              </w:rPr>
              <w:t xml:space="preserve">№ </w:t>
            </w:r>
            <w:proofErr w:type="spellStart"/>
            <w:r w:rsidRPr="00F30DA7">
              <w:rPr>
                <w:sz w:val="28"/>
                <w:szCs w:val="28"/>
              </w:rPr>
              <w:t>п/п</w:t>
            </w:r>
            <w:proofErr w:type="spellEnd"/>
          </w:p>
        </w:tc>
        <w:tc>
          <w:tcPr>
            <w:tcW w:w="4194"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ind w:firstLine="432"/>
              <w:jc w:val="center"/>
              <w:rPr>
                <w:sz w:val="28"/>
                <w:szCs w:val="28"/>
              </w:rPr>
            </w:pPr>
          </w:p>
          <w:p w:rsidR="00466990" w:rsidRPr="00F30DA7" w:rsidRDefault="00466990" w:rsidP="00466990">
            <w:pPr>
              <w:jc w:val="center"/>
              <w:rPr>
                <w:sz w:val="28"/>
                <w:szCs w:val="28"/>
              </w:rPr>
            </w:pPr>
            <w:r w:rsidRPr="00F30DA7">
              <w:rPr>
                <w:sz w:val="28"/>
                <w:szCs w:val="28"/>
              </w:rPr>
              <w:t>Зміст заходу</w:t>
            </w:r>
          </w:p>
        </w:tc>
        <w:tc>
          <w:tcPr>
            <w:tcW w:w="180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p>
          <w:p w:rsidR="00466990" w:rsidRPr="00F30DA7" w:rsidRDefault="00466990" w:rsidP="00466990">
            <w:pPr>
              <w:jc w:val="center"/>
              <w:rPr>
                <w:sz w:val="28"/>
                <w:szCs w:val="28"/>
              </w:rPr>
            </w:pPr>
            <w:r w:rsidRPr="00F30DA7">
              <w:rPr>
                <w:sz w:val="28"/>
                <w:szCs w:val="28"/>
              </w:rPr>
              <w:t>Термін</w:t>
            </w:r>
          </w:p>
          <w:p w:rsidR="00466990" w:rsidRPr="00F30DA7" w:rsidRDefault="00466990" w:rsidP="00466990">
            <w:pPr>
              <w:jc w:val="center"/>
              <w:rPr>
                <w:sz w:val="28"/>
                <w:szCs w:val="28"/>
              </w:rPr>
            </w:pPr>
            <w:r w:rsidRPr="00F30DA7">
              <w:rPr>
                <w:sz w:val="28"/>
                <w:szCs w:val="28"/>
              </w:rPr>
              <w:t>виконання</w:t>
            </w:r>
          </w:p>
          <w:p w:rsidR="00466990" w:rsidRPr="00F30DA7" w:rsidRDefault="00466990" w:rsidP="00466990">
            <w:pPr>
              <w:ind w:firstLine="432"/>
              <w:jc w:val="center"/>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p>
          <w:p w:rsidR="00466990" w:rsidRPr="00F30DA7" w:rsidRDefault="00466990" w:rsidP="00466990">
            <w:pPr>
              <w:jc w:val="center"/>
              <w:rPr>
                <w:sz w:val="28"/>
                <w:szCs w:val="28"/>
              </w:rPr>
            </w:pPr>
            <w:r w:rsidRPr="00F30DA7">
              <w:rPr>
                <w:sz w:val="28"/>
                <w:szCs w:val="28"/>
              </w:rPr>
              <w:t xml:space="preserve">Відповідальні </w:t>
            </w:r>
          </w:p>
          <w:p w:rsidR="00466990" w:rsidRPr="00F30DA7" w:rsidRDefault="00466990" w:rsidP="00466990">
            <w:pPr>
              <w:jc w:val="center"/>
              <w:rPr>
                <w:sz w:val="28"/>
                <w:szCs w:val="28"/>
              </w:rPr>
            </w:pPr>
            <w:r w:rsidRPr="00F30DA7">
              <w:rPr>
                <w:sz w:val="28"/>
                <w:szCs w:val="28"/>
              </w:rPr>
              <w:t>за виконання</w:t>
            </w:r>
          </w:p>
        </w:tc>
      </w:tr>
      <w:tr w:rsidR="00466990" w:rsidRPr="00F30DA7">
        <w:trPr>
          <w:trHeight w:val="236"/>
          <w:tblHeader/>
        </w:trPr>
        <w:tc>
          <w:tcPr>
            <w:tcW w:w="594" w:type="dxa"/>
            <w:tcBorders>
              <w:top w:val="single" w:sz="4" w:space="0" w:color="auto"/>
              <w:left w:val="single" w:sz="4" w:space="0" w:color="auto"/>
              <w:bottom w:val="single" w:sz="4" w:space="0" w:color="auto"/>
              <w:right w:val="single" w:sz="4" w:space="0" w:color="auto"/>
            </w:tcBorders>
          </w:tcPr>
          <w:p w:rsidR="00466990" w:rsidRPr="003F6E3A" w:rsidRDefault="00466990" w:rsidP="00466990">
            <w:pPr>
              <w:tabs>
                <w:tab w:val="num" w:pos="360"/>
              </w:tabs>
              <w:jc w:val="center"/>
            </w:pPr>
            <w:r w:rsidRPr="003F6E3A">
              <w:t>1</w:t>
            </w:r>
          </w:p>
        </w:tc>
        <w:tc>
          <w:tcPr>
            <w:tcW w:w="4194" w:type="dxa"/>
            <w:tcBorders>
              <w:top w:val="single" w:sz="4" w:space="0" w:color="auto"/>
              <w:left w:val="single" w:sz="4" w:space="0" w:color="auto"/>
              <w:bottom w:val="single" w:sz="4" w:space="0" w:color="auto"/>
              <w:right w:val="single" w:sz="4" w:space="0" w:color="auto"/>
            </w:tcBorders>
          </w:tcPr>
          <w:p w:rsidR="00466990" w:rsidRPr="003F6E3A" w:rsidRDefault="00466990" w:rsidP="00466990">
            <w:pPr>
              <w:ind w:firstLine="432"/>
              <w:jc w:val="center"/>
            </w:pPr>
            <w:r w:rsidRPr="003F6E3A">
              <w:t>2</w:t>
            </w:r>
          </w:p>
        </w:tc>
        <w:tc>
          <w:tcPr>
            <w:tcW w:w="1800" w:type="dxa"/>
            <w:tcBorders>
              <w:top w:val="single" w:sz="4" w:space="0" w:color="auto"/>
              <w:left w:val="single" w:sz="4" w:space="0" w:color="auto"/>
              <w:bottom w:val="single" w:sz="4" w:space="0" w:color="auto"/>
              <w:right w:val="single" w:sz="4" w:space="0" w:color="auto"/>
            </w:tcBorders>
          </w:tcPr>
          <w:p w:rsidR="00466990" w:rsidRPr="003F6E3A" w:rsidRDefault="00466990" w:rsidP="00466990">
            <w:pPr>
              <w:jc w:val="center"/>
            </w:pPr>
            <w:r w:rsidRPr="003F6E3A">
              <w:t>3</w:t>
            </w:r>
          </w:p>
        </w:tc>
        <w:tc>
          <w:tcPr>
            <w:tcW w:w="3060" w:type="dxa"/>
            <w:tcBorders>
              <w:top w:val="single" w:sz="4" w:space="0" w:color="auto"/>
              <w:left w:val="single" w:sz="4" w:space="0" w:color="auto"/>
              <w:bottom w:val="single" w:sz="4" w:space="0" w:color="auto"/>
              <w:right w:val="single" w:sz="4" w:space="0" w:color="auto"/>
            </w:tcBorders>
          </w:tcPr>
          <w:p w:rsidR="00466990" w:rsidRPr="003F6E3A" w:rsidRDefault="00466990" w:rsidP="00466990">
            <w:pPr>
              <w:jc w:val="center"/>
            </w:pPr>
            <w:r w:rsidRPr="003F6E3A">
              <w:t>4</w:t>
            </w:r>
          </w:p>
        </w:tc>
      </w:tr>
      <w:tr w:rsidR="00466990" w:rsidRPr="00F30DA7">
        <w:trPr>
          <w:trHeight w:val="849"/>
        </w:trPr>
        <w:tc>
          <w:tcPr>
            <w:tcW w:w="594"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Pr>
                <w:sz w:val="28"/>
                <w:szCs w:val="28"/>
              </w:rPr>
              <w:t>1.</w:t>
            </w:r>
          </w:p>
        </w:tc>
        <w:tc>
          <w:tcPr>
            <w:tcW w:w="4194"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pStyle w:val="StyleZakonu"/>
              <w:spacing w:after="0" w:line="240" w:lineRule="auto"/>
              <w:ind w:firstLine="0"/>
              <w:rPr>
                <w:sz w:val="28"/>
                <w:szCs w:val="28"/>
              </w:rPr>
            </w:pPr>
            <w:r w:rsidRPr="00F30DA7">
              <w:rPr>
                <w:sz w:val="28"/>
                <w:szCs w:val="28"/>
              </w:rPr>
              <w:t xml:space="preserve">Забезпечити виконання Програми економічного і соціального розвитку Полтавської області на 2011 рік </w:t>
            </w:r>
          </w:p>
          <w:p w:rsidR="00466990" w:rsidRPr="00F30DA7" w:rsidRDefault="00466990" w:rsidP="00466990">
            <w:pPr>
              <w:pStyle w:val="StyleZakonu"/>
              <w:spacing w:after="0" w:line="240" w:lineRule="auto"/>
              <w:ind w:firstLine="0"/>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sidRPr="00F30DA7">
              <w:rPr>
                <w:sz w:val="28"/>
                <w:szCs w:val="28"/>
              </w:rPr>
              <w:t>До 1 січня 2012 року</w:t>
            </w:r>
          </w:p>
        </w:tc>
        <w:tc>
          <w:tcPr>
            <w:tcW w:w="306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both"/>
              <w:rPr>
                <w:sz w:val="28"/>
                <w:szCs w:val="28"/>
              </w:rPr>
            </w:pPr>
            <w:r w:rsidRPr="00F30DA7">
              <w:rPr>
                <w:sz w:val="28"/>
                <w:szCs w:val="28"/>
              </w:rPr>
              <w:t>Головне управління економіки облдержадміністрації</w:t>
            </w:r>
          </w:p>
        </w:tc>
      </w:tr>
      <w:tr w:rsidR="00466990" w:rsidRPr="00F30DA7">
        <w:trPr>
          <w:trHeight w:val="1388"/>
        </w:trPr>
        <w:tc>
          <w:tcPr>
            <w:tcW w:w="594"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Pr>
                <w:sz w:val="28"/>
                <w:szCs w:val="28"/>
              </w:rPr>
              <w:t>2.</w:t>
            </w:r>
          </w:p>
        </w:tc>
        <w:tc>
          <w:tcPr>
            <w:tcW w:w="4194"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pStyle w:val="StyleZakonu"/>
              <w:spacing w:after="0" w:line="240" w:lineRule="auto"/>
              <w:ind w:firstLine="0"/>
              <w:rPr>
                <w:sz w:val="28"/>
                <w:szCs w:val="28"/>
              </w:rPr>
            </w:pPr>
            <w:r w:rsidRPr="00F30DA7">
              <w:rPr>
                <w:sz w:val="28"/>
                <w:szCs w:val="28"/>
              </w:rPr>
              <w:t>Проводити роботу щодо легалізації заробітної плати, дотримання державних гарантій в оплаті п</w:t>
            </w:r>
            <w:r>
              <w:rPr>
                <w:sz w:val="28"/>
                <w:szCs w:val="28"/>
              </w:rPr>
              <w:t xml:space="preserve">раці, погашення заборгованості </w:t>
            </w:r>
            <w:r w:rsidRPr="00F30DA7">
              <w:rPr>
                <w:sz w:val="28"/>
                <w:szCs w:val="28"/>
              </w:rPr>
              <w:t>з виплати заробітної пла</w:t>
            </w:r>
            <w:r>
              <w:rPr>
                <w:sz w:val="28"/>
                <w:szCs w:val="28"/>
              </w:rPr>
              <w:t>ти</w:t>
            </w:r>
          </w:p>
          <w:p w:rsidR="00466990" w:rsidRPr="00F30DA7" w:rsidRDefault="00466990" w:rsidP="00466990">
            <w:pPr>
              <w:pStyle w:val="StyleZakonu"/>
              <w:spacing w:after="0" w:line="240" w:lineRule="auto"/>
              <w:ind w:firstLine="0"/>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sidRPr="00F30DA7">
              <w:rPr>
                <w:sz w:val="28"/>
                <w:szCs w:val="28"/>
              </w:rPr>
              <w:t xml:space="preserve">Протягом </w:t>
            </w:r>
          </w:p>
          <w:p w:rsidR="00466990" w:rsidRPr="00F30DA7" w:rsidRDefault="00466990" w:rsidP="00466990">
            <w:pPr>
              <w:jc w:val="center"/>
              <w:rPr>
                <w:sz w:val="28"/>
                <w:szCs w:val="28"/>
              </w:rPr>
            </w:pPr>
            <w:r w:rsidRPr="00F30DA7">
              <w:rPr>
                <w:sz w:val="28"/>
                <w:szCs w:val="28"/>
              </w:rPr>
              <w:t>року</w:t>
            </w:r>
          </w:p>
        </w:tc>
        <w:tc>
          <w:tcPr>
            <w:tcW w:w="306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both"/>
              <w:rPr>
                <w:sz w:val="28"/>
                <w:szCs w:val="28"/>
              </w:rPr>
            </w:pPr>
            <w:r w:rsidRPr="00F30DA7">
              <w:rPr>
                <w:sz w:val="28"/>
                <w:szCs w:val="28"/>
              </w:rPr>
              <w:t xml:space="preserve">Державна податкова адміністрація у Полтавській області, </w:t>
            </w:r>
          </w:p>
          <w:p w:rsidR="00466990" w:rsidRPr="00F30DA7" w:rsidRDefault="00466990" w:rsidP="00466990">
            <w:pPr>
              <w:jc w:val="both"/>
              <w:rPr>
                <w:sz w:val="28"/>
                <w:szCs w:val="28"/>
              </w:rPr>
            </w:pPr>
            <w:r w:rsidRPr="00F30DA7">
              <w:rPr>
                <w:sz w:val="28"/>
                <w:szCs w:val="28"/>
              </w:rPr>
              <w:t xml:space="preserve">Головне управління праці та соціального захисту населення облдержадміністрації, </w:t>
            </w:r>
          </w:p>
          <w:p w:rsidR="00466990" w:rsidRPr="00F30DA7" w:rsidRDefault="00466990" w:rsidP="00466990">
            <w:pPr>
              <w:jc w:val="both"/>
              <w:rPr>
                <w:sz w:val="28"/>
                <w:szCs w:val="28"/>
              </w:rPr>
            </w:pPr>
            <w:r w:rsidRPr="00F30DA7">
              <w:rPr>
                <w:sz w:val="28"/>
                <w:szCs w:val="28"/>
              </w:rPr>
              <w:t xml:space="preserve">територіальна державна інспекція праці у Полтавській області, </w:t>
            </w:r>
          </w:p>
          <w:p w:rsidR="00466990" w:rsidRPr="00F30DA7" w:rsidRDefault="00466990" w:rsidP="00466990">
            <w:pPr>
              <w:jc w:val="both"/>
              <w:rPr>
                <w:sz w:val="28"/>
                <w:szCs w:val="28"/>
              </w:rPr>
            </w:pPr>
            <w:r w:rsidRPr="00F30DA7">
              <w:rPr>
                <w:sz w:val="28"/>
                <w:szCs w:val="28"/>
              </w:rPr>
              <w:t>райдержадміністрації,</w:t>
            </w:r>
          </w:p>
          <w:p w:rsidR="00466990" w:rsidRPr="00F30DA7" w:rsidRDefault="00466990" w:rsidP="00466990">
            <w:pPr>
              <w:ind w:hanging="108"/>
              <w:jc w:val="both"/>
              <w:rPr>
                <w:sz w:val="28"/>
                <w:szCs w:val="28"/>
              </w:rPr>
            </w:pPr>
            <w:r w:rsidRPr="00F30DA7">
              <w:rPr>
                <w:sz w:val="28"/>
                <w:szCs w:val="28"/>
              </w:rPr>
              <w:t xml:space="preserve">  міськвиконкоми</w:t>
            </w:r>
          </w:p>
          <w:p w:rsidR="00466990" w:rsidRPr="00F30DA7" w:rsidRDefault="00466990" w:rsidP="00466990">
            <w:pPr>
              <w:ind w:hanging="108"/>
              <w:jc w:val="both"/>
              <w:rPr>
                <w:sz w:val="28"/>
                <w:szCs w:val="28"/>
              </w:rPr>
            </w:pPr>
          </w:p>
        </w:tc>
      </w:tr>
      <w:tr w:rsidR="00466990" w:rsidRPr="00F30DA7">
        <w:trPr>
          <w:trHeight w:val="1388"/>
        </w:trPr>
        <w:tc>
          <w:tcPr>
            <w:tcW w:w="594"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Pr>
                <w:sz w:val="28"/>
                <w:szCs w:val="28"/>
              </w:rPr>
              <w:t>3.</w:t>
            </w:r>
          </w:p>
        </w:tc>
        <w:tc>
          <w:tcPr>
            <w:tcW w:w="4194"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pStyle w:val="StyleZakonu"/>
              <w:spacing w:after="0" w:line="240" w:lineRule="auto"/>
              <w:ind w:firstLine="0"/>
              <w:rPr>
                <w:sz w:val="28"/>
                <w:szCs w:val="28"/>
              </w:rPr>
            </w:pPr>
            <w:r w:rsidRPr="00F30DA7">
              <w:rPr>
                <w:sz w:val="28"/>
                <w:szCs w:val="28"/>
              </w:rPr>
              <w:t>Здійснювати комплексні заходи щодо зміцнення платіжної дисципліни, забезпечення своєчасної і повної сплати платежів у місцеві бюджети</w:t>
            </w:r>
          </w:p>
        </w:tc>
        <w:tc>
          <w:tcPr>
            <w:tcW w:w="180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sidRPr="00F30DA7">
              <w:rPr>
                <w:sz w:val="28"/>
                <w:szCs w:val="28"/>
              </w:rPr>
              <w:t xml:space="preserve">Протягом </w:t>
            </w:r>
          </w:p>
          <w:p w:rsidR="00466990" w:rsidRPr="00F30DA7" w:rsidRDefault="00466990" w:rsidP="00466990">
            <w:pPr>
              <w:jc w:val="center"/>
              <w:rPr>
                <w:sz w:val="28"/>
                <w:szCs w:val="28"/>
              </w:rPr>
            </w:pPr>
            <w:r w:rsidRPr="00F30DA7">
              <w:rPr>
                <w:sz w:val="28"/>
                <w:szCs w:val="28"/>
              </w:rPr>
              <w:t>року</w:t>
            </w:r>
          </w:p>
        </w:tc>
        <w:tc>
          <w:tcPr>
            <w:tcW w:w="306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both"/>
              <w:rPr>
                <w:sz w:val="28"/>
                <w:szCs w:val="28"/>
              </w:rPr>
            </w:pPr>
            <w:r w:rsidRPr="00F30DA7">
              <w:rPr>
                <w:sz w:val="28"/>
                <w:szCs w:val="28"/>
              </w:rPr>
              <w:t xml:space="preserve">Державна податкова адміністрація у Полтавській області, </w:t>
            </w:r>
          </w:p>
          <w:p w:rsidR="00466990" w:rsidRPr="00F30DA7" w:rsidRDefault="00466990" w:rsidP="00466990">
            <w:pPr>
              <w:jc w:val="both"/>
              <w:rPr>
                <w:sz w:val="28"/>
                <w:szCs w:val="28"/>
              </w:rPr>
            </w:pPr>
            <w:r w:rsidRPr="00F30DA7">
              <w:rPr>
                <w:sz w:val="28"/>
                <w:szCs w:val="28"/>
              </w:rPr>
              <w:t>Головне фінансове управління облдержадміністрації,</w:t>
            </w:r>
          </w:p>
          <w:p w:rsidR="00466990" w:rsidRPr="00F30DA7" w:rsidRDefault="00466990" w:rsidP="00466990">
            <w:pPr>
              <w:jc w:val="both"/>
              <w:rPr>
                <w:sz w:val="28"/>
                <w:szCs w:val="28"/>
              </w:rPr>
            </w:pPr>
            <w:r w:rsidRPr="00F30DA7">
              <w:rPr>
                <w:sz w:val="28"/>
                <w:szCs w:val="28"/>
              </w:rPr>
              <w:t>райдержадміністрації,</w:t>
            </w:r>
          </w:p>
          <w:p w:rsidR="00466990" w:rsidRPr="00F30DA7" w:rsidRDefault="00466990" w:rsidP="00466990">
            <w:pPr>
              <w:ind w:hanging="108"/>
              <w:jc w:val="both"/>
              <w:rPr>
                <w:sz w:val="28"/>
                <w:szCs w:val="28"/>
              </w:rPr>
            </w:pPr>
            <w:r w:rsidRPr="00F30DA7">
              <w:rPr>
                <w:sz w:val="28"/>
                <w:szCs w:val="28"/>
              </w:rPr>
              <w:t xml:space="preserve">  міськвиконкоми</w:t>
            </w:r>
          </w:p>
          <w:p w:rsidR="00466990" w:rsidRDefault="00466990" w:rsidP="00466990">
            <w:pPr>
              <w:ind w:hanging="108"/>
              <w:jc w:val="both"/>
              <w:rPr>
                <w:sz w:val="28"/>
                <w:szCs w:val="28"/>
              </w:rPr>
            </w:pPr>
          </w:p>
          <w:p w:rsidR="00466990" w:rsidRPr="00F30DA7" w:rsidRDefault="00466990" w:rsidP="00466990">
            <w:pPr>
              <w:ind w:hanging="108"/>
              <w:jc w:val="both"/>
              <w:rPr>
                <w:sz w:val="28"/>
                <w:szCs w:val="28"/>
              </w:rPr>
            </w:pPr>
          </w:p>
        </w:tc>
      </w:tr>
      <w:tr w:rsidR="00466990" w:rsidRPr="00F30DA7">
        <w:trPr>
          <w:trHeight w:val="169"/>
        </w:trPr>
        <w:tc>
          <w:tcPr>
            <w:tcW w:w="594" w:type="dxa"/>
            <w:tcBorders>
              <w:top w:val="single" w:sz="4" w:space="0" w:color="auto"/>
              <w:left w:val="single" w:sz="4" w:space="0" w:color="auto"/>
              <w:bottom w:val="single" w:sz="4" w:space="0" w:color="auto"/>
              <w:right w:val="single" w:sz="4" w:space="0" w:color="auto"/>
            </w:tcBorders>
          </w:tcPr>
          <w:p w:rsidR="00466990" w:rsidRPr="003F6E3A" w:rsidRDefault="00466990" w:rsidP="00466990">
            <w:pPr>
              <w:jc w:val="center"/>
            </w:pPr>
            <w:r w:rsidRPr="003F6E3A">
              <w:t>1</w:t>
            </w:r>
          </w:p>
        </w:tc>
        <w:tc>
          <w:tcPr>
            <w:tcW w:w="4194" w:type="dxa"/>
            <w:tcBorders>
              <w:top w:val="single" w:sz="4" w:space="0" w:color="auto"/>
              <w:left w:val="single" w:sz="4" w:space="0" w:color="auto"/>
              <w:bottom w:val="single" w:sz="4" w:space="0" w:color="auto"/>
              <w:right w:val="single" w:sz="4" w:space="0" w:color="auto"/>
            </w:tcBorders>
          </w:tcPr>
          <w:p w:rsidR="00466990" w:rsidRPr="003F6E3A" w:rsidRDefault="00466990" w:rsidP="00466990">
            <w:pPr>
              <w:pStyle w:val="StyleZakonu"/>
              <w:spacing w:after="0" w:line="240" w:lineRule="auto"/>
              <w:ind w:firstLine="0"/>
              <w:jc w:val="center"/>
              <w:rPr>
                <w:sz w:val="24"/>
                <w:szCs w:val="24"/>
              </w:rPr>
            </w:pPr>
            <w:r w:rsidRPr="003F6E3A">
              <w:rPr>
                <w:sz w:val="24"/>
                <w:szCs w:val="24"/>
              </w:rPr>
              <w:t>2</w:t>
            </w:r>
          </w:p>
        </w:tc>
        <w:tc>
          <w:tcPr>
            <w:tcW w:w="1800" w:type="dxa"/>
            <w:tcBorders>
              <w:top w:val="single" w:sz="4" w:space="0" w:color="auto"/>
              <w:left w:val="single" w:sz="4" w:space="0" w:color="auto"/>
              <w:bottom w:val="single" w:sz="4" w:space="0" w:color="auto"/>
              <w:right w:val="single" w:sz="4" w:space="0" w:color="auto"/>
            </w:tcBorders>
          </w:tcPr>
          <w:p w:rsidR="00466990" w:rsidRPr="003F6E3A" w:rsidRDefault="00466990" w:rsidP="00466990">
            <w:pPr>
              <w:jc w:val="center"/>
            </w:pPr>
            <w:r w:rsidRPr="003F6E3A">
              <w:t>3</w:t>
            </w:r>
          </w:p>
        </w:tc>
        <w:tc>
          <w:tcPr>
            <w:tcW w:w="3060" w:type="dxa"/>
            <w:tcBorders>
              <w:top w:val="single" w:sz="4" w:space="0" w:color="auto"/>
              <w:left w:val="single" w:sz="4" w:space="0" w:color="auto"/>
              <w:bottom w:val="single" w:sz="4" w:space="0" w:color="auto"/>
              <w:right w:val="single" w:sz="4" w:space="0" w:color="auto"/>
            </w:tcBorders>
          </w:tcPr>
          <w:p w:rsidR="00466990" w:rsidRPr="003F6E3A" w:rsidRDefault="00466990" w:rsidP="00466990">
            <w:pPr>
              <w:jc w:val="center"/>
            </w:pPr>
            <w:r w:rsidRPr="003F6E3A">
              <w:t>4</w:t>
            </w:r>
          </w:p>
        </w:tc>
      </w:tr>
      <w:tr w:rsidR="00466990" w:rsidRPr="00F30DA7">
        <w:trPr>
          <w:trHeight w:val="1563"/>
        </w:trPr>
        <w:tc>
          <w:tcPr>
            <w:tcW w:w="594"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Pr>
                <w:sz w:val="28"/>
                <w:szCs w:val="28"/>
              </w:rPr>
              <w:lastRenderedPageBreak/>
              <w:t>4.</w:t>
            </w:r>
          </w:p>
        </w:tc>
        <w:tc>
          <w:tcPr>
            <w:tcW w:w="4194" w:type="dxa"/>
            <w:tcBorders>
              <w:top w:val="single" w:sz="4" w:space="0" w:color="auto"/>
              <w:left w:val="single" w:sz="4" w:space="0" w:color="auto"/>
              <w:bottom w:val="single" w:sz="4" w:space="0" w:color="auto"/>
              <w:right w:val="single" w:sz="4" w:space="0" w:color="auto"/>
            </w:tcBorders>
          </w:tcPr>
          <w:p w:rsidR="00466990" w:rsidRDefault="00466990" w:rsidP="00466990">
            <w:pPr>
              <w:jc w:val="both"/>
              <w:rPr>
                <w:sz w:val="28"/>
                <w:szCs w:val="28"/>
              </w:rPr>
            </w:pPr>
            <w:r w:rsidRPr="00F30DA7">
              <w:rPr>
                <w:sz w:val="28"/>
                <w:szCs w:val="28"/>
              </w:rPr>
              <w:t>Провести роботу щодо встановлення місцевими радами місцевих податків і зборів, визначених Податковим кодексом України</w:t>
            </w:r>
          </w:p>
          <w:p w:rsidR="00466990" w:rsidRDefault="00466990" w:rsidP="00466990">
            <w:pPr>
              <w:jc w:val="both"/>
              <w:rPr>
                <w:sz w:val="28"/>
                <w:szCs w:val="28"/>
              </w:rPr>
            </w:pPr>
          </w:p>
          <w:p w:rsidR="00466990" w:rsidRPr="00710125" w:rsidRDefault="00466990" w:rsidP="00466990">
            <w:pPr>
              <w:jc w:val="both"/>
              <w:rPr>
                <w:sz w:val="16"/>
                <w:szCs w:val="16"/>
              </w:rPr>
            </w:pPr>
          </w:p>
          <w:p w:rsidR="00466990" w:rsidRPr="00921B91" w:rsidRDefault="00466990" w:rsidP="00466990">
            <w:pPr>
              <w:jc w:val="both"/>
              <w:rPr>
                <w:sz w:val="16"/>
                <w:szCs w:val="16"/>
              </w:rPr>
            </w:pPr>
          </w:p>
        </w:tc>
        <w:tc>
          <w:tcPr>
            <w:tcW w:w="180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sidRPr="00F30DA7">
              <w:rPr>
                <w:sz w:val="28"/>
                <w:szCs w:val="28"/>
              </w:rPr>
              <w:t xml:space="preserve">До 1 лютого 2011 року </w:t>
            </w:r>
          </w:p>
        </w:tc>
        <w:tc>
          <w:tcPr>
            <w:tcW w:w="306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both"/>
              <w:rPr>
                <w:sz w:val="28"/>
                <w:szCs w:val="28"/>
              </w:rPr>
            </w:pPr>
            <w:r w:rsidRPr="00F30DA7">
              <w:rPr>
                <w:sz w:val="28"/>
                <w:szCs w:val="28"/>
              </w:rPr>
              <w:t>Райдержадміністрації,</w:t>
            </w:r>
          </w:p>
          <w:p w:rsidR="00466990" w:rsidRPr="00F30DA7" w:rsidRDefault="00466990" w:rsidP="00466990">
            <w:pPr>
              <w:jc w:val="both"/>
              <w:rPr>
                <w:sz w:val="28"/>
                <w:szCs w:val="28"/>
              </w:rPr>
            </w:pPr>
            <w:r w:rsidRPr="00F30DA7">
              <w:rPr>
                <w:sz w:val="28"/>
                <w:szCs w:val="28"/>
              </w:rPr>
              <w:t>міськвиконкоми</w:t>
            </w:r>
          </w:p>
        </w:tc>
      </w:tr>
      <w:tr w:rsidR="00466990" w:rsidRPr="00F30DA7">
        <w:trPr>
          <w:trHeight w:val="70"/>
        </w:trPr>
        <w:tc>
          <w:tcPr>
            <w:tcW w:w="594"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Pr>
                <w:sz w:val="28"/>
                <w:szCs w:val="28"/>
              </w:rPr>
              <w:t>5.</w:t>
            </w:r>
          </w:p>
        </w:tc>
        <w:tc>
          <w:tcPr>
            <w:tcW w:w="4194" w:type="dxa"/>
            <w:tcBorders>
              <w:top w:val="single" w:sz="4" w:space="0" w:color="auto"/>
              <w:left w:val="single" w:sz="4" w:space="0" w:color="auto"/>
              <w:bottom w:val="single" w:sz="4" w:space="0" w:color="auto"/>
              <w:right w:val="single" w:sz="4" w:space="0" w:color="auto"/>
            </w:tcBorders>
          </w:tcPr>
          <w:p w:rsidR="00466990" w:rsidRDefault="00466990" w:rsidP="00466990">
            <w:pPr>
              <w:pStyle w:val="StyleZakonu"/>
              <w:spacing w:after="0" w:line="240" w:lineRule="auto"/>
              <w:ind w:firstLine="0"/>
              <w:rPr>
                <w:sz w:val="28"/>
                <w:szCs w:val="28"/>
              </w:rPr>
            </w:pPr>
            <w:r w:rsidRPr="00F30DA7">
              <w:rPr>
                <w:sz w:val="28"/>
                <w:szCs w:val="28"/>
              </w:rPr>
              <w:t>Здійснювати аналітичне дослідження ставок єдиного і фіксованого податків та підготовку обґрунтованих пропозицій органам місцевого самоврядування щодо їх перегляду з врахуванням реального стану</w:t>
            </w:r>
            <w:r>
              <w:rPr>
                <w:sz w:val="28"/>
                <w:szCs w:val="28"/>
              </w:rPr>
              <w:t xml:space="preserve"> економічної ситуації</w:t>
            </w:r>
          </w:p>
          <w:p w:rsidR="00466990" w:rsidRPr="00921B91" w:rsidRDefault="00466990" w:rsidP="00466990">
            <w:pPr>
              <w:pStyle w:val="StyleZakonu"/>
              <w:spacing w:after="0" w:line="240" w:lineRule="auto"/>
              <w:ind w:firstLine="0"/>
              <w:rPr>
                <w:sz w:val="28"/>
                <w:szCs w:val="28"/>
              </w:rPr>
            </w:pPr>
          </w:p>
          <w:p w:rsidR="00466990" w:rsidRPr="00921B91" w:rsidRDefault="00466990" w:rsidP="00466990">
            <w:pPr>
              <w:pStyle w:val="StyleZakonu"/>
              <w:spacing w:after="0" w:line="240" w:lineRule="auto"/>
              <w:ind w:firstLine="0"/>
              <w:rPr>
                <w:sz w:val="16"/>
                <w:szCs w:val="16"/>
              </w:rPr>
            </w:pPr>
          </w:p>
          <w:p w:rsidR="00466990" w:rsidRPr="008B4EDD" w:rsidRDefault="00466990" w:rsidP="00466990">
            <w:pPr>
              <w:pStyle w:val="StyleZakonu"/>
              <w:spacing w:after="0" w:line="240" w:lineRule="auto"/>
              <w:ind w:firstLine="0"/>
              <w:rPr>
                <w:sz w:val="16"/>
                <w:szCs w:val="16"/>
              </w:rPr>
            </w:pPr>
          </w:p>
        </w:tc>
        <w:tc>
          <w:tcPr>
            <w:tcW w:w="180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sidRPr="00F30DA7">
              <w:rPr>
                <w:sz w:val="28"/>
                <w:szCs w:val="28"/>
              </w:rPr>
              <w:t>Протягом</w:t>
            </w:r>
          </w:p>
          <w:p w:rsidR="00466990" w:rsidRPr="00F30DA7" w:rsidRDefault="00466990" w:rsidP="00466990">
            <w:pPr>
              <w:jc w:val="center"/>
              <w:rPr>
                <w:sz w:val="28"/>
                <w:szCs w:val="28"/>
              </w:rPr>
            </w:pPr>
            <w:r w:rsidRPr="00F30DA7">
              <w:rPr>
                <w:sz w:val="28"/>
                <w:szCs w:val="28"/>
              </w:rPr>
              <w:t>року</w:t>
            </w:r>
          </w:p>
        </w:tc>
        <w:tc>
          <w:tcPr>
            <w:tcW w:w="306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both"/>
              <w:rPr>
                <w:sz w:val="28"/>
                <w:szCs w:val="28"/>
              </w:rPr>
            </w:pPr>
            <w:r w:rsidRPr="00F30DA7">
              <w:rPr>
                <w:sz w:val="28"/>
                <w:szCs w:val="28"/>
              </w:rPr>
              <w:t>Державна податкова адміністрація у Полтавській області</w:t>
            </w:r>
          </w:p>
        </w:tc>
      </w:tr>
      <w:tr w:rsidR="00466990" w:rsidRPr="00F30DA7">
        <w:trPr>
          <w:trHeight w:val="2057"/>
        </w:trPr>
        <w:tc>
          <w:tcPr>
            <w:tcW w:w="594"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Pr>
                <w:sz w:val="28"/>
                <w:szCs w:val="28"/>
              </w:rPr>
              <w:t>6.</w:t>
            </w:r>
          </w:p>
        </w:tc>
        <w:tc>
          <w:tcPr>
            <w:tcW w:w="4194" w:type="dxa"/>
            <w:tcBorders>
              <w:top w:val="single" w:sz="4" w:space="0" w:color="auto"/>
              <w:left w:val="single" w:sz="4" w:space="0" w:color="auto"/>
              <w:bottom w:val="single" w:sz="4" w:space="0" w:color="auto"/>
              <w:right w:val="single" w:sz="4" w:space="0" w:color="auto"/>
            </w:tcBorders>
          </w:tcPr>
          <w:p w:rsidR="00466990" w:rsidRDefault="00466990" w:rsidP="00466990">
            <w:pPr>
              <w:jc w:val="both"/>
              <w:rPr>
                <w:sz w:val="28"/>
                <w:szCs w:val="28"/>
              </w:rPr>
            </w:pPr>
            <w:r w:rsidRPr="00F30DA7">
              <w:rPr>
                <w:sz w:val="28"/>
                <w:szCs w:val="28"/>
              </w:rPr>
              <w:t>Провести інвентаризацію програм, затверджених місцевими радами, та визначення їх пріоритетності щодо фінансування</w:t>
            </w:r>
            <w:r>
              <w:rPr>
                <w:sz w:val="28"/>
                <w:szCs w:val="28"/>
              </w:rPr>
              <w:t>, насамперед тих, що вплинули на</w:t>
            </w:r>
            <w:r w:rsidRPr="00F30DA7">
              <w:rPr>
                <w:sz w:val="28"/>
                <w:szCs w:val="28"/>
              </w:rPr>
              <w:t xml:space="preserve"> збільшення кількості бюджетних установ, або установ, яким надаєтьс</w:t>
            </w:r>
            <w:r>
              <w:rPr>
                <w:sz w:val="28"/>
                <w:szCs w:val="28"/>
              </w:rPr>
              <w:t>я підтримка з місцевих бюджетів</w:t>
            </w:r>
          </w:p>
          <w:p w:rsidR="00466990" w:rsidRDefault="00466990" w:rsidP="00466990">
            <w:pPr>
              <w:jc w:val="both"/>
              <w:rPr>
                <w:sz w:val="28"/>
                <w:szCs w:val="28"/>
              </w:rPr>
            </w:pPr>
          </w:p>
          <w:p w:rsidR="00466990" w:rsidRPr="00710125" w:rsidRDefault="00466990" w:rsidP="00466990">
            <w:pPr>
              <w:jc w:val="both"/>
              <w:rPr>
                <w:sz w:val="16"/>
                <w:szCs w:val="16"/>
              </w:rPr>
            </w:pPr>
          </w:p>
          <w:p w:rsidR="00466990" w:rsidRPr="008B4EDD" w:rsidRDefault="00466990" w:rsidP="00466990">
            <w:pPr>
              <w:jc w:val="both"/>
              <w:rPr>
                <w:sz w:val="16"/>
                <w:szCs w:val="16"/>
              </w:rPr>
            </w:pPr>
          </w:p>
        </w:tc>
        <w:tc>
          <w:tcPr>
            <w:tcW w:w="180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sidRPr="00F30DA7">
              <w:rPr>
                <w:sz w:val="28"/>
                <w:szCs w:val="28"/>
              </w:rPr>
              <w:t>До 1 квітня 2011 року</w:t>
            </w:r>
          </w:p>
        </w:tc>
        <w:tc>
          <w:tcPr>
            <w:tcW w:w="306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both"/>
              <w:rPr>
                <w:sz w:val="28"/>
                <w:szCs w:val="28"/>
              </w:rPr>
            </w:pPr>
            <w:r>
              <w:rPr>
                <w:sz w:val="28"/>
                <w:szCs w:val="28"/>
              </w:rPr>
              <w:t>Структурні підрозділи</w:t>
            </w:r>
            <w:r w:rsidRPr="00F30DA7">
              <w:rPr>
                <w:sz w:val="28"/>
                <w:szCs w:val="28"/>
              </w:rPr>
              <w:t xml:space="preserve"> облдержадміністрації-головні розпорядники</w:t>
            </w:r>
          </w:p>
          <w:p w:rsidR="00466990" w:rsidRPr="00F30DA7" w:rsidRDefault="00466990" w:rsidP="00466990">
            <w:pPr>
              <w:jc w:val="both"/>
              <w:rPr>
                <w:sz w:val="28"/>
                <w:szCs w:val="28"/>
              </w:rPr>
            </w:pPr>
            <w:r w:rsidRPr="00F30DA7">
              <w:rPr>
                <w:sz w:val="28"/>
                <w:szCs w:val="28"/>
              </w:rPr>
              <w:t>коштів обласног</w:t>
            </w:r>
            <w:r>
              <w:rPr>
                <w:sz w:val="28"/>
                <w:szCs w:val="28"/>
              </w:rPr>
              <w:t>о бюджету, райдержадміністрації</w:t>
            </w:r>
          </w:p>
          <w:p w:rsidR="00466990" w:rsidRPr="00F30DA7" w:rsidRDefault="00466990" w:rsidP="00466990">
            <w:pPr>
              <w:jc w:val="both"/>
              <w:rPr>
                <w:sz w:val="28"/>
                <w:szCs w:val="28"/>
              </w:rPr>
            </w:pPr>
          </w:p>
        </w:tc>
      </w:tr>
      <w:tr w:rsidR="00466990" w:rsidRPr="00F30DA7">
        <w:trPr>
          <w:trHeight w:val="70"/>
        </w:trPr>
        <w:tc>
          <w:tcPr>
            <w:tcW w:w="594"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Pr>
                <w:sz w:val="28"/>
                <w:szCs w:val="28"/>
              </w:rPr>
              <w:t>7.</w:t>
            </w:r>
          </w:p>
        </w:tc>
        <w:tc>
          <w:tcPr>
            <w:tcW w:w="4194" w:type="dxa"/>
            <w:tcBorders>
              <w:top w:val="single" w:sz="4" w:space="0" w:color="auto"/>
              <w:left w:val="single" w:sz="4" w:space="0" w:color="auto"/>
              <w:bottom w:val="single" w:sz="4" w:space="0" w:color="auto"/>
              <w:right w:val="single" w:sz="4" w:space="0" w:color="auto"/>
            </w:tcBorders>
          </w:tcPr>
          <w:p w:rsidR="00466990" w:rsidRDefault="00466990" w:rsidP="00466990">
            <w:pPr>
              <w:jc w:val="both"/>
              <w:rPr>
                <w:sz w:val="28"/>
                <w:szCs w:val="28"/>
              </w:rPr>
            </w:pPr>
            <w:r>
              <w:rPr>
                <w:sz w:val="28"/>
                <w:szCs w:val="28"/>
              </w:rPr>
              <w:t>Вжити заходів</w:t>
            </w:r>
            <w:r w:rsidRPr="00F30DA7">
              <w:rPr>
                <w:sz w:val="28"/>
                <w:szCs w:val="28"/>
              </w:rPr>
              <w:t xml:space="preserve"> щодо додержання суворого контролю при формуванні мережі бюджетних установ, штатної чисельності та інших показників, які впливають на видаткову частину бюджету, упорядкування  переліку бюджетних установ, що утримуються за рахунок коштів місцевих бюджетів,  проведення реорган</w:t>
            </w:r>
            <w:r>
              <w:rPr>
                <w:sz w:val="28"/>
                <w:szCs w:val="28"/>
              </w:rPr>
              <w:t>ізації мережі бюджетних установ</w:t>
            </w:r>
          </w:p>
          <w:p w:rsidR="00466990" w:rsidRDefault="00466990" w:rsidP="00466990">
            <w:pPr>
              <w:jc w:val="both"/>
              <w:rPr>
                <w:sz w:val="28"/>
                <w:szCs w:val="28"/>
              </w:rPr>
            </w:pPr>
          </w:p>
          <w:p w:rsidR="00466990" w:rsidRDefault="00466990" w:rsidP="00466990">
            <w:pPr>
              <w:jc w:val="both"/>
              <w:rPr>
                <w:sz w:val="18"/>
                <w:szCs w:val="18"/>
              </w:rPr>
            </w:pPr>
          </w:p>
          <w:p w:rsidR="00466990" w:rsidRPr="00710125" w:rsidRDefault="00466990" w:rsidP="00466990">
            <w:pPr>
              <w:jc w:val="both"/>
              <w:rPr>
                <w:sz w:val="18"/>
                <w:szCs w:val="18"/>
              </w:rPr>
            </w:pPr>
          </w:p>
          <w:p w:rsidR="00466990" w:rsidRPr="00F30DA7" w:rsidRDefault="00466990" w:rsidP="00466990">
            <w:pPr>
              <w:jc w:val="both"/>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sidRPr="00F30DA7">
              <w:rPr>
                <w:sz w:val="28"/>
                <w:szCs w:val="28"/>
              </w:rPr>
              <w:t>Протягом</w:t>
            </w:r>
          </w:p>
          <w:p w:rsidR="00466990" w:rsidRPr="00F30DA7" w:rsidRDefault="00466990" w:rsidP="00466990">
            <w:pPr>
              <w:jc w:val="center"/>
              <w:rPr>
                <w:sz w:val="28"/>
                <w:szCs w:val="28"/>
              </w:rPr>
            </w:pPr>
            <w:r w:rsidRPr="00F30DA7">
              <w:rPr>
                <w:sz w:val="28"/>
                <w:szCs w:val="28"/>
              </w:rPr>
              <w:t>року</w:t>
            </w:r>
          </w:p>
        </w:tc>
        <w:tc>
          <w:tcPr>
            <w:tcW w:w="306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both"/>
              <w:rPr>
                <w:sz w:val="28"/>
                <w:szCs w:val="28"/>
              </w:rPr>
            </w:pPr>
            <w:r>
              <w:rPr>
                <w:sz w:val="28"/>
                <w:szCs w:val="28"/>
              </w:rPr>
              <w:t>Структурні підрозділи</w:t>
            </w:r>
            <w:r w:rsidRPr="00F30DA7">
              <w:rPr>
                <w:sz w:val="28"/>
                <w:szCs w:val="28"/>
              </w:rPr>
              <w:t xml:space="preserve"> облдержадміністрації-головні розпорядники</w:t>
            </w:r>
          </w:p>
          <w:p w:rsidR="00466990" w:rsidRPr="00F30DA7" w:rsidRDefault="00466990" w:rsidP="00466990">
            <w:pPr>
              <w:jc w:val="both"/>
              <w:rPr>
                <w:sz w:val="28"/>
                <w:szCs w:val="28"/>
              </w:rPr>
            </w:pPr>
            <w:r w:rsidRPr="00F30DA7">
              <w:rPr>
                <w:sz w:val="28"/>
                <w:szCs w:val="28"/>
              </w:rPr>
              <w:t>коштів обласног</w:t>
            </w:r>
            <w:r>
              <w:rPr>
                <w:sz w:val="28"/>
                <w:szCs w:val="28"/>
              </w:rPr>
              <w:t>о бюджету, райдержадміністрації</w:t>
            </w:r>
          </w:p>
          <w:p w:rsidR="00466990" w:rsidRPr="00F30DA7" w:rsidRDefault="00466990" w:rsidP="00466990">
            <w:pPr>
              <w:jc w:val="both"/>
              <w:rPr>
                <w:sz w:val="28"/>
                <w:szCs w:val="28"/>
              </w:rPr>
            </w:pPr>
          </w:p>
        </w:tc>
      </w:tr>
      <w:tr w:rsidR="00466990" w:rsidRPr="00F30DA7">
        <w:tc>
          <w:tcPr>
            <w:tcW w:w="594" w:type="dxa"/>
            <w:tcBorders>
              <w:top w:val="single" w:sz="4" w:space="0" w:color="auto"/>
              <w:left w:val="single" w:sz="4" w:space="0" w:color="auto"/>
              <w:bottom w:val="single" w:sz="4" w:space="0" w:color="auto"/>
              <w:right w:val="single" w:sz="4" w:space="0" w:color="auto"/>
            </w:tcBorders>
          </w:tcPr>
          <w:p w:rsidR="00466990" w:rsidRPr="00710125" w:rsidRDefault="00466990" w:rsidP="00466990">
            <w:pPr>
              <w:jc w:val="center"/>
            </w:pPr>
            <w:r w:rsidRPr="00710125">
              <w:t>1</w:t>
            </w:r>
          </w:p>
        </w:tc>
        <w:tc>
          <w:tcPr>
            <w:tcW w:w="4194" w:type="dxa"/>
            <w:tcBorders>
              <w:top w:val="single" w:sz="4" w:space="0" w:color="auto"/>
              <w:left w:val="single" w:sz="4" w:space="0" w:color="auto"/>
              <w:bottom w:val="single" w:sz="4" w:space="0" w:color="auto"/>
              <w:right w:val="single" w:sz="4" w:space="0" w:color="auto"/>
            </w:tcBorders>
          </w:tcPr>
          <w:p w:rsidR="00466990" w:rsidRPr="00710125" w:rsidRDefault="00466990" w:rsidP="00466990">
            <w:pPr>
              <w:jc w:val="center"/>
            </w:pPr>
            <w:r w:rsidRPr="00710125">
              <w:t>2</w:t>
            </w:r>
          </w:p>
        </w:tc>
        <w:tc>
          <w:tcPr>
            <w:tcW w:w="1800" w:type="dxa"/>
            <w:tcBorders>
              <w:top w:val="single" w:sz="4" w:space="0" w:color="auto"/>
              <w:left w:val="single" w:sz="4" w:space="0" w:color="auto"/>
              <w:bottom w:val="single" w:sz="4" w:space="0" w:color="auto"/>
              <w:right w:val="single" w:sz="4" w:space="0" w:color="auto"/>
            </w:tcBorders>
          </w:tcPr>
          <w:p w:rsidR="00466990" w:rsidRPr="00710125" w:rsidRDefault="00466990" w:rsidP="00466990">
            <w:pPr>
              <w:jc w:val="center"/>
            </w:pPr>
            <w:r w:rsidRPr="00710125">
              <w:t>3</w:t>
            </w:r>
          </w:p>
        </w:tc>
        <w:tc>
          <w:tcPr>
            <w:tcW w:w="3060" w:type="dxa"/>
            <w:tcBorders>
              <w:top w:val="single" w:sz="4" w:space="0" w:color="auto"/>
              <w:left w:val="single" w:sz="4" w:space="0" w:color="auto"/>
              <w:bottom w:val="single" w:sz="4" w:space="0" w:color="auto"/>
              <w:right w:val="single" w:sz="4" w:space="0" w:color="auto"/>
            </w:tcBorders>
          </w:tcPr>
          <w:p w:rsidR="00466990" w:rsidRPr="00710125" w:rsidRDefault="00466990" w:rsidP="00466990">
            <w:pPr>
              <w:jc w:val="center"/>
            </w:pPr>
            <w:r w:rsidRPr="00710125">
              <w:t>4</w:t>
            </w:r>
          </w:p>
        </w:tc>
      </w:tr>
      <w:tr w:rsidR="00466990" w:rsidRPr="00F30DA7">
        <w:tc>
          <w:tcPr>
            <w:tcW w:w="594"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Pr>
                <w:sz w:val="28"/>
                <w:szCs w:val="28"/>
              </w:rPr>
              <w:t>8.</w:t>
            </w:r>
          </w:p>
        </w:tc>
        <w:tc>
          <w:tcPr>
            <w:tcW w:w="4194"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both"/>
              <w:rPr>
                <w:sz w:val="28"/>
                <w:szCs w:val="28"/>
              </w:rPr>
            </w:pPr>
            <w:r w:rsidRPr="00F30DA7">
              <w:rPr>
                <w:sz w:val="28"/>
                <w:szCs w:val="28"/>
              </w:rPr>
              <w:t>Здійснювати заходи щодо</w:t>
            </w:r>
            <w:r>
              <w:rPr>
                <w:sz w:val="28"/>
                <w:szCs w:val="28"/>
              </w:rPr>
              <w:t xml:space="preserve"> забезпечення</w:t>
            </w:r>
            <w:r w:rsidRPr="00F30DA7">
              <w:rPr>
                <w:sz w:val="28"/>
                <w:szCs w:val="28"/>
              </w:rPr>
              <w:t xml:space="preserve"> оптимізації витрат головних розпорядників коштів місцевих бюджетів шляхом виключення непріоритетних та неефективних витрат, насамперед тих, що не забезпечують виконання основних функцій і завдань відп</w:t>
            </w:r>
            <w:r>
              <w:rPr>
                <w:sz w:val="28"/>
                <w:szCs w:val="28"/>
              </w:rPr>
              <w:t>овідного головного розпорядника</w:t>
            </w:r>
          </w:p>
          <w:p w:rsidR="00466990" w:rsidRPr="00F30DA7" w:rsidRDefault="00466990" w:rsidP="00466990">
            <w:pPr>
              <w:jc w:val="both"/>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center"/>
              <w:rPr>
                <w:sz w:val="28"/>
                <w:szCs w:val="28"/>
              </w:rPr>
            </w:pPr>
            <w:r w:rsidRPr="00F30DA7">
              <w:rPr>
                <w:sz w:val="28"/>
                <w:szCs w:val="28"/>
              </w:rPr>
              <w:t>Протягом</w:t>
            </w:r>
          </w:p>
          <w:p w:rsidR="00466990" w:rsidRPr="00F30DA7" w:rsidRDefault="00466990" w:rsidP="00466990">
            <w:pPr>
              <w:jc w:val="center"/>
              <w:rPr>
                <w:sz w:val="28"/>
                <w:szCs w:val="28"/>
              </w:rPr>
            </w:pPr>
            <w:r w:rsidRPr="00F30DA7">
              <w:rPr>
                <w:sz w:val="28"/>
                <w:szCs w:val="28"/>
              </w:rPr>
              <w:t>року</w:t>
            </w:r>
          </w:p>
        </w:tc>
        <w:tc>
          <w:tcPr>
            <w:tcW w:w="3060" w:type="dxa"/>
            <w:tcBorders>
              <w:top w:val="single" w:sz="4" w:space="0" w:color="auto"/>
              <w:left w:val="single" w:sz="4" w:space="0" w:color="auto"/>
              <w:bottom w:val="single" w:sz="4" w:space="0" w:color="auto"/>
              <w:right w:val="single" w:sz="4" w:space="0" w:color="auto"/>
            </w:tcBorders>
          </w:tcPr>
          <w:p w:rsidR="00466990" w:rsidRPr="00F30DA7" w:rsidRDefault="00466990" w:rsidP="00466990">
            <w:pPr>
              <w:jc w:val="both"/>
              <w:rPr>
                <w:sz w:val="28"/>
                <w:szCs w:val="28"/>
              </w:rPr>
            </w:pPr>
            <w:r>
              <w:rPr>
                <w:sz w:val="28"/>
                <w:szCs w:val="28"/>
              </w:rPr>
              <w:t>Структурні підрозділи</w:t>
            </w:r>
            <w:r w:rsidRPr="00F30DA7">
              <w:rPr>
                <w:sz w:val="28"/>
                <w:szCs w:val="28"/>
              </w:rPr>
              <w:t xml:space="preserve"> облдержадміністрації-головні розпорядники</w:t>
            </w:r>
          </w:p>
          <w:p w:rsidR="00466990" w:rsidRPr="00F30DA7" w:rsidRDefault="00466990" w:rsidP="00466990">
            <w:pPr>
              <w:jc w:val="both"/>
              <w:rPr>
                <w:sz w:val="28"/>
                <w:szCs w:val="28"/>
              </w:rPr>
            </w:pPr>
            <w:r w:rsidRPr="00F30DA7">
              <w:rPr>
                <w:sz w:val="28"/>
                <w:szCs w:val="28"/>
              </w:rPr>
              <w:t>коштів обласног</w:t>
            </w:r>
            <w:r>
              <w:rPr>
                <w:sz w:val="28"/>
                <w:szCs w:val="28"/>
              </w:rPr>
              <w:t>о бюджету, райдержадміністрації</w:t>
            </w:r>
          </w:p>
          <w:p w:rsidR="00466990" w:rsidRPr="00F30DA7" w:rsidRDefault="00466990" w:rsidP="00466990">
            <w:pPr>
              <w:jc w:val="both"/>
              <w:rPr>
                <w:sz w:val="28"/>
                <w:szCs w:val="28"/>
              </w:rPr>
            </w:pPr>
          </w:p>
        </w:tc>
      </w:tr>
    </w:tbl>
    <w:p w:rsidR="00466990" w:rsidRPr="00F30DA7" w:rsidRDefault="00466990" w:rsidP="00466990">
      <w:pPr>
        <w:pStyle w:val="Heading3"/>
        <w:rPr>
          <w:b/>
          <w:bCs/>
        </w:rPr>
      </w:pPr>
    </w:p>
    <w:p w:rsidR="00466990" w:rsidRPr="00921B91" w:rsidRDefault="00466990" w:rsidP="00466990">
      <w:pPr>
        <w:jc w:val="both"/>
        <w:rPr>
          <w:sz w:val="28"/>
          <w:szCs w:val="28"/>
        </w:rPr>
      </w:pPr>
      <w:r w:rsidRPr="00921B91">
        <w:rPr>
          <w:sz w:val="28"/>
          <w:szCs w:val="28"/>
        </w:rPr>
        <w:t xml:space="preserve">Заступник голови – керівник </w:t>
      </w:r>
    </w:p>
    <w:p w:rsidR="00466990" w:rsidRPr="00921B91" w:rsidRDefault="00466990" w:rsidP="00466990">
      <w:pPr>
        <w:jc w:val="both"/>
        <w:rPr>
          <w:sz w:val="28"/>
          <w:szCs w:val="28"/>
        </w:rPr>
      </w:pPr>
      <w:r w:rsidRPr="00921B91">
        <w:rPr>
          <w:sz w:val="28"/>
          <w:szCs w:val="28"/>
        </w:rPr>
        <w:t>апарату облдержадміністрації                                              В.О.Пархоменко</w:t>
      </w:r>
    </w:p>
    <w:sectPr w:rsidR="00466990" w:rsidRPr="00921B91" w:rsidSect="00466990">
      <w:headerReference w:type="default" r:id="rId7"/>
      <w:footerReference w:type="default" r:id="rId8"/>
      <w:footerReference w:type="first" r:id="rId9"/>
      <w:pgSz w:w="11907" w:h="16840" w:code="9"/>
      <w:pgMar w:top="1134" w:right="567" w:bottom="1134" w:left="170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334415">
      <w:r>
        <w:separator/>
      </w:r>
    </w:p>
  </w:endnote>
  <w:endnote w:type="continuationSeparator" w:id="0">
    <w:p w:rsidR="00000000" w:rsidRDefault="0033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DONI">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6990" w:rsidRDefault="00466990">
    <w:pPr>
      <w:pStyle w:val="Footer"/>
      <w:tabs>
        <w:tab w:val="clear" w:pos="4153"/>
        <w:tab w:val="clear" w:pos="8306"/>
        <w:tab w:val="center" w:pos="4703"/>
        <w:tab w:val="right" w:pos="9406"/>
      </w:tabs>
      <w:rPr>
        <w:snapToGrid w:val="0"/>
      </w:rPr>
    </w:pPr>
    <w:r>
      <w:rPr>
        <w:rFonts w:ascii="BODONI" w:hAnsi="BODONI" w:cs="BODONI"/>
        <w:snapToGrid w:val="0"/>
        <w:sz w:val="16"/>
        <w:szCs w:val="16"/>
      </w:rPr>
      <w:fldChar w:fldCharType="begin"/>
    </w:r>
    <w:r>
      <w:rPr>
        <w:rFonts w:ascii="BODONI" w:hAnsi="BODONI" w:cs="BODONI"/>
        <w:snapToGrid w:val="0"/>
        <w:sz w:val="16"/>
        <w:szCs w:val="16"/>
      </w:rPr>
      <w:instrText xml:space="preserve">FILENAME  \* MERGEFORMAT </w:instrText>
    </w:r>
    <w:r>
      <w:rPr>
        <w:rFonts w:ascii="BODONI" w:hAnsi="BODONI" w:cs="BODONI"/>
        <w:snapToGrid w:val="0"/>
        <w:sz w:val="16"/>
        <w:szCs w:val="16"/>
      </w:rPr>
      <w:fldChar w:fldCharType="separate"/>
    </w:r>
    <w:r>
      <w:rPr>
        <w:rFonts w:ascii="BODONI" w:hAnsi="BODONI" w:cs="BODONI"/>
        <w:noProof/>
        <w:snapToGrid w:val="0"/>
        <w:sz w:val="16"/>
        <w:szCs w:val="16"/>
      </w:rPr>
      <w:t>BLA_DA</w:t>
    </w:r>
    <w:r>
      <w:rPr>
        <w:rFonts w:ascii="BODONI" w:hAnsi="BODONI" w:cs="BODONI"/>
        <w:snapToGrid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6990" w:rsidRDefault="00466990">
    <w:pPr>
      <w:pStyle w:val="Footer"/>
      <w:tabs>
        <w:tab w:val="clear" w:pos="4153"/>
        <w:tab w:val="clear" w:pos="8306"/>
        <w:tab w:val="center" w:pos="4703"/>
        <w:tab w:val="right" w:pos="9406"/>
      </w:tabs>
      <w:rPr>
        <w:snapToGrid w:val="0"/>
      </w:rPr>
    </w:pPr>
    <w:r>
      <w:rPr>
        <w:snapToGrid w:val="0"/>
      </w:rPr>
      <w:fldChar w:fldCharType="begin"/>
    </w:r>
    <w:r>
      <w:rPr>
        <w:snapToGrid w:val="0"/>
      </w:rPr>
      <w:instrText xml:space="preserve">FILENAME  \* MERGEFORMAT </w:instrText>
    </w:r>
    <w:r>
      <w:rPr>
        <w:snapToGrid w:val="0"/>
      </w:rPr>
      <w:fldChar w:fldCharType="separate"/>
    </w:r>
    <w:r>
      <w:rPr>
        <w:noProof/>
        <w:snapToGrid w:val="0"/>
      </w:rPr>
      <w:t>BLA_DA</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334415">
      <w:r>
        <w:separator/>
      </w:r>
    </w:p>
  </w:footnote>
  <w:footnote w:type="continuationSeparator" w:id="0">
    <w:p w:rsidR="00000000" w:rsidRDefault="00334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6990" w:rsidRDefault="00466990">
    <w:pPr>
      <w:pStyle w:val="Header"/>
      <w:tabs>
        <w:tab w:val="clear" w:pos="4153"/>
        <w:tab w:val="clear" w:pos="8306"/>
        <w:tab w:val="center" w:pos="4703"/>
        <w:tab w:val="right" w:pos="9406"/>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11946"/>
    <w:multiLevelType w:val="hybridMultilevel"/>
    <w:tmpl w:val="24C28958"/>
    <w:lvl w:ilvl="0" w:tplc="F9A0F290">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6990"/>
    <w:rsid w:val="00176FA5"/>
    <w:rsid w:val="00334415"/>
    <w:rsid w:val="00466990"/>
    <w:rsid w:val="00653798"/>
    <w:rsid w:val="00731B33"/>
    <w:rsid w:val="00FA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0817EA-3964-4865-8131-D02B11DF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990"/>
    <w:pPr>
      <w:widowControl w:val="0"/>
      <w:autoSpaceDE w:val="0"/>
      <w:autoSpaceDN w:val="0"/>
    </w:pPr>
    <w:rPr>
      <w:rFonts w:ascii="CG Times (W1)" w:hAnsi="CG Times (W1)" w:cs="CG Times (W1)"/>
      <w:lang w:val="uk-UA" w:eastAsia="ru-RU"/>
    </w:rPr>
  </w:style>
  <w:style w:type="paragraph" w:styleId="Heading3">
    <w:name w:val="heading 3"/>
    <w:basedOn w:val="Normal"/>
    <w:next w:val="Normal"/>
    <w:qFormat/>
    <w:rsid w:val="00466990"/>
    <w:pPr>
      <w:keepNext/>
      <w:spacing w:line="300" w:lineRule="exact"/>
      <w:outlineLvl w:val="2"/>
    </w:pPr>
    <w:rPr>
      <w:sz w:val="28"/>
      <w:szCs w:val="28"/>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Знак Знак Знак"/>
    <w:basedOn w:val="Normal"/>
    <w:link w:val="DefaultParagraphFont"/>
    <w:rsid w:val="00466990"/>
    <w:pPr>
      <w:widowControl/>
      <w:autoSpaceDE/>
      <w:autoSpaceDN/>
    </w:pPr>
    <w:rPr>
      <w:rFonts w:ascii="Verdana" w:hAnsi="Verdana" w:cs="Verdana"/>
      <w:sz w:val="24"/>
      <w:szCs w:val="24"/>
      <w:lang w:val="en-US" w:eastAsia="en-US"/>
    </w:rPr>
  </w:style>
  <w:style w:type="paragraph" w:styleId="Header">
    <w:name w:val="header"/>
    <w:basedOn w:val="Normal"/>
    <w:rsid w:val="00466990"/>
    <w:pPr>
      <w:widowControl/>
      <w:tabs>
        <w:tab w:val="center" w:pos="4153"/>
        <w:tab w:val="right" w:pos="8306"/>
      </w:tabs>
    </w:pPr>
  </w:style>
  <w:style w:type="paragraph" w:styleId="Footer">
    <w:name w:val="footer"/>
    <w:basedOn w:val="Normal"/>
    <w:rsid w:val="00466990"/>
    <w:pPr>
      <w:widowControl/>
      <w:tabs>
        <w:tab w:val="center" w:pos="4153"/>
        <w:tab w:val="right" w:pos="8306"/>
      </w:tabs>
    </w:pPr>
  </w:style>
  <w:style w:type="table" w:styleId="TableGrid">
    <w:name w:val="Table Grid"/>
    <w:basedOn w:val="TableNormal"/>
    <w:rsid w:val="00466990"/>
    <w:rPr>
      <w:rFonts w:ascii="CG Times (W1)" w:hAnsi="CG Times (W1)" w:cs="CG Times (W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Zakonu">
    <w:name w:val="StyleZakonu"/>
    <w:basedOn w:val="Normal"/>
    <w:rsid w:val="00466990"/>
    <w:pPr>
      <w:widowControl/>
      <w:autoSpaceDE/>
      <w:autoSpaceDN/>
      <w:spacing w:after="60" w:line="220" w:lineRule="exact"/>
      <w:ind w:firstLine="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vera</dc:creator>
  <cp:keywords/>
  <dc:description/>
  <cp:lastModifiedBy>Mykhailo Tolstikhin</cp:lastModifiedBy>
  <cp:revision>2</cp:revision>
  <dcterms:created xsi:type="dcterms:W3CDTF">2023-06-08T12:37:00Z</dcterms:created>
  <dcterms:modified xsi:type="dcterms:W3CDTF">2023-06-08T12:37:00Z</dcterms:modified>
</cp:coreProperties>
</file>