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90" w:rsidRDefault="003846E5" w:rsidP="009A1A90">
      <w:pPr>
        <w:jc w:val="center"/>
        <w:rPr>
          <w:rFonts w:eastAsia="Times New Roman" w:cs="Times New Roman"/>
          <w:b/>
          <w:szCs w:val="28"/>
          <w:highlight w:val="white"/>
        </w:rPr>
      </w:pPr>
      <w:r>
        <w:rPr>
          <w:rFonts w:eastAsia="Times New Roman" w:cs="Times New Roman"/>
          <w:b/>
          <w:szCs w:val="28"/>
        </w:rPr>
        <w:t xml:space="preserve">Довідкова інформація щодо виконання Плану заходів на 2025 рік з реалізації Національної стратегії із створення </w:t>
      </w:r>
      <w:proofErr w:type="spellStart"/>
      <w:r>
        <w:rPr>
          <w:rFonts w:eastAsia="Times New Roman" w:cs="Times New Roman"/>
          <w:b/>
          <w:szCs w:val="28"/>
        </w:rPr>
        <w:t>безбар’єрного</w:t>
      </w:r>
      <w:proofErr w:type="spellEnd"/>
      <w:r>
        <w:rPr>
          <w:rFonts w:eastAsia="Times New Roman" w:cs="Times New Roman"/>
          <w:b/>
          <w:szCs w:val="28"/>
        </w:rPr>
        <w:t xml:space="preserve"> простору </w:t>
      </w:r>
      <w:r>
        <w:rPr>
          <w:rFonts w:eastAsia="Times New Roman" w:cs="Times New Roman"/>
          <w:b/>
          <w:szCs w:val="28"/>
          <w:highlight w:val="white"/>
        </w:rPr>
        <w:t xml:space="preserve">в Україні </w:t>
      </w:r>
    </w:p>
    <w:p w:rsidR="003846E5" w:rsidRDefault="003846E5" w:rsidP="009A1A90">
      <w:pPr>
        <w:jc w:val="center"/>
        <w:rPr>
          <w:rFonts w:eastAsia="Times New Roman" w:cs="Times New Roman"/>
          <w:b/>
          <w:szCs w:val="28"/>
        </w:rPr>
      </w:pPr>
      <w:r>
        <w:rPr>
          <w:rFonts w:eastAsia="Times New Roman" w:cs="Times New Roman"/>
          <w:b/>
          <w:szCs w:val="28"/>
          <w:highlight w:val="white"/>
        </w:rPr>
        <w:t>на період до 2030 року.</w:t>
      </w:r>
    </w:p>
    <w:p w:rsidR="003846E5" w:rsidRPr="00DE71EC" w:rsidRDefault="003846E5" w:rsidP="003846E5">
      <w:pPr>
        <w:ind w:firstLine="708"/>
        <w:jc w:val="center"/>
        <w:rPr>
          <w:rFonts w:eastAsia="Times New Roman" w:cs="Times New Roman"/>
          <w:b/>
          <w:szCs w:val="28"/>
        </w:rPr>
      </w:pPr>
    </w:p>
    <w:p w:rsidR="003846E5" w:rsidRPr="003846E5" w:rsidRDefault="003846E5" w:rsidP="003846E5">
      <w:pPr>
        <w:jc w:val="both"/>
        <w:rPr>
          <w:rFonts w:eastAsia="Times New Roman" w:cs="Times New Roman"/>
          <w:szCs w:val="28"/>
          <w:u w:val="single"/>
        </w:rPr>
      </w:pPr>
      <w:r w:rsidRPr="003846E5">
        <w:rPr>
          <w:rFonts w:eastAsia="Times New Roman" w:cs="Times New Roman"/>
          <w:szCs w:val="28"/>
          <w:u w:val="single"/>
        </w:rPr>
        <w:t>72.2.н) започаткування спільних вечорів/зустрічей з особами старшого віку щодо обміну досвідом на базі центрів життєстійкості</w:t>
      </w:r>
    </w:p>
    <w:p w:rsidR="003846E5" w:rsidRDefault="003846E5" w:rsidP="003846E5">
      <w:pPr>
        <w:jc w:val="both"/>
        <w:rPr>
          <w:b/>
        </w:rPr>
      </w:pPr>
    </w:p>
    <w:p w:rsidR="003846E5" w:rsidRDefault="003846E5" w:rsidP="000F21CA">
      <w:pPr>
        <w:jc w:val="center"/>
        <w:rPr>
          <w:b/>
        </w:rPr>
      </w:pPr>
      <w:r w:rsidRPr="003846E5">
        <w:rPr>
          <w:b/>
        </w:rPr>
        <w:drawing>
          <wp:inline distT="0" distB="0" distL="0" distR="0" wp14:anchorId="598B25D5" wp14:editId="43898F9E">
            <wp:extent cx="6677024" cy="37558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89427" cy="3762804"/>
                    </a:xfrm>
                    <a:prstGeom prst="rect">
                      <a:avLst/>
                    </a:prstGeom>
                  </pic:spPr>
                </pic:pic>
              </a:graphicData>
            </a:graphic>
          </wp:inline>
        </w:drawing>
      </w:r>
    </w:p>
    <w:p w:rsidR="000F21CA" w:rsidRDefault="000F21CA" w:rsidP="009A1A90">
      <w:pPr>
        <w:ind w:firstLine="426"/>
        <w:jc w:val="both"/>
        <w:rPr>
          <w:rFonts w:cs="Times New Roman"/>
          <w:szCs w:val="28"/>
        </w:rPr>
      </w:pPr>
      <w:r w:rsidRPr="000F21CA">
        <w:rPr>
          <w:rFonts w:cs="Times New Roman"/>
          <w:szCs w:val="28"/>
        </w:rPr>
        <w:t>Активна реалізації Всеукраїнської програми ментального здоров’я #</w:t>
      </w:r>
      <w:proofErr w:type="spellStart"/>
      <w:r w:rsidRPr="000F21CA">
        <w:rPr>
          <w:rFonts w:cs="Times New Roman"/>
          <w:szCs w:val="28"/>
        </w:rPr>
        <w:t>ТиЯк</w:t>
      </w:r>
      <w:proofErr w:type="spellEnd"/>
      <w:r w:rsidRPr="000F21CA">
        <w:rPr>
          <w:rFonts w:cs="Times New Roman"/>
          <w:szCs w:val="28"/>
        </w:rPr>
        <w:t xml:space="preserve"> в Полтавській області в першу чергу представлена мережею центрів життєстійкості, які станом на початок лютого 2025 року відкриті в </w:t>
      </w:r>
      <w:r w:rsidRPr="000F21CA">
        <w:rPr>
          <w:rFonts w:cs="Times New Roman"/>
          <w:b/>
          <w:szCs w:val="28"/>
        </w:rPr>
        <w:t>12 територіальних громадах області.</w:t>
      </w:r>
      <w:r w:rsidRPr="000F21CA">
        <w:rPr>
          <w:rFonts w:cs="Times New Roman"/>
          <w:szCs w:val="28"/>
        </w:rPr>
        <w:t xml:space="preserve"> </w:t>
      </w:r>
    </w:p>
    <w:p w:rsidR="000F21CA" w:rsidRPr="00674D83" w:rsidRDefault="000F21CA" w:rsidP="000F21CA">
      <w:pPr>
        <w:ind w:firstLine="426"/>
        <w:jc w:val="both"/>
        <w:rPr>
          <w:rFonts w:cs="Times New Roman"/>
          <w:szCs w:val="28"/>
        </w:rPr>
      </w:pPr>
      <w:r w:rsidRPr="00674D83">
        <w:rPr>
          <w:rFonts w:cs="Times New Roman"/>
          <w:b/>
          <w:szCs w:val="28"/>
        </w:rPr>
        <w:t>Центр життєстійкості</w:t>
      </w:r>
      <w:r w:rsidRPr="00674D83">
        <w:rPr>
          <w:rFonts w:cs="Times New Roman"/>
          <w:szCs w:val="28"/>
        </w:rPr>
        <w:t xml:space="preserve"> - дружній, </w:t>
      </w:r>
      <w:proofErr w:type="spellStart"/>
      <w:r w:rsidRPr="00674D83">
        <w:rPr>
          <w:rFonts w:cs="Times New Roman"/>
          <w:szCs w:val="28"/>
        </w:rPr>
        <w:t>безбар’єрний</w:t>
      </w:r>
      <w:proofErr w:type="spellEnd"/>
      <w:r w:rsidRPr="00674D83">
        <w:rPr>
          <w:rFonts w:cs="Times New Roman"/>
          <w:szCs w:val="28"/>
        </w:rPr>
        <w:t xml:space="preserve"> простір, куди може звернутися кожен мешканець громади і безоплатно отримати підтримку та послуги </w:t>
      </w:r>
      <w:r w:rsidRPr="00674D83">
        <w:rPr>
          <w:rFonts w:cs="Times New Roman"/>
          <w:color w:val="000000"/>
          <w:szCs w:val="28"/>
        </w:rPr>
        <w:t>- комплексний психосоціальний супровід сімей, особливо з числа постраждалого населення, ВПО, який спрямовану підтримку та зміцнення психічного здоров'я.</w:t>
      </w:r>
    </w:p>
    <w:p w:rsidR="000F21CA" w:rsidRPr="000F21CA" w:rsidRDefault="000F21CA" w:rsidP="000F21CA">
      <w:pPr>
        <w:ind w:firstLine="708"/>
        <w:jc w:val="both"/>
        <w:rPr>
          <w:rFonts w:cs="Times New Roman"/>
          <w:szCs w:val="28"/>
        </w:rPr>
      </w:pPr>
      <w:r w:rsidRPr="000F21CA">
        <w:rPr>
          <w:rFonts w:cs="Times New Roman"/>
          <w:szCs w:val="28"/>
        </w:rPr>
        <w:t xml:space="preserve">Ініціатива, яка є практичним втіленням співпраці влади, громади та недержавного сектору дозволяє позитивно впливати на ментальне здоров’я мешканців територіальних громад, представників уразливих категорій та тих, кому інколи потрібна дружня підтримка або можливість розділити свої хвилювання з іншими небайдужими людьми. </w:t>
      </w:r>
    </w:p>
    <w:p w:rsidR="000F21CA" w:rsidRPr="000F21CA" w:rsidRDefault="000F21CA" w:rsidP="000F21CA">
      <w:pPr>
        <w:ind w:firstLine="708"/>
        <w:jc w:val="both"/>
        <w:rPr>
          <w:rFonts w:cs="Times New Roman"/>
          <w:szCs w:val="28"/>
        </w:rPr>
      </w:pPr>
      <w:r w:rsidRPr="000F21CA">
        <w:rPr>
          <w:rFonts w:cs="Times New Roman"/>
          <w:szCs w:val="28"/>
        </w:rPr>
        <w:t>У 202</w:t>
      </w:r>
      <w:r w:rsidR="003846E5">
        <w:rPr>
          <w:rFonts w:cs="Times New Roman"/>
          <w:szCs w:val="28"/>
        </w:rPr>
        <w:t>5</w:t>
      </w:r>
      <w:r w:rsidRPr="000F21CA">
        <w:rPr>
          <w:rFonts w:cs="Times New Roman"/>
          <w:szCs w:val="28"/>
        </w:rPr>
        <w:t xml:space="preserve"> році послугами з формування життєстійкості на базі діючих центрів охоплено понад </w:t>
      </w:r>
      <w:r w:rsidR="009A1A90">
        <w:rPr>
          <w:rFonts w:cs="Times New Roman"/>
          <w:szCs w:val="28"/>
        </w:rPr>
        <w:t>50</w:t>
      </w:r>
      <w:r w:rsidRPr="000F21CA">
        <w:rPr>
          <w:rFonts w:cs="Times New Roman"/>
          <w:szCs w:val="28"/>
        </w:rPr>
        <w:t xml:space="preserve"> тисяч мешканців. </w:t>
      </w:r>
    </w:p>
    <w:p w:rsidR="000F21CA" w:rsidRDefault="000F21CA" w:rsidP="000F21CA">
      <w:pPr>
        <w:ind w:firstLine="708"/>
        <w:jc w:val="both"/>
        <w:rPr>
          <w:rFonts w:cs="Times New Roman"/>
          <w:szCs w:val="28"/>
        </w:rPr>
      </w:pPr>
      <w:r w:rsidRPr="000F21CA">
        <w:rPr>
          <w:rFonts w:cs="Times New Roman"/>
          <w:szCs w:val="28"/>
        </w:rPr>
        <w:t xml:space="preserve">Наразі такі центри є в громадах: Полтавській, Кременчуцькій, Миргородській, Лубенській, </w:t>
      </w:r>
      <w:proofErr w:type="spellStart"/>
      <w:r w:rsidRPr="000F21CA">
        <w:rPr>
          <w:rFonts w:cs="Times New Roman"/>
          <w:szCs w:val="28"/>
        </w:rPr>
        <w:t>Глобинській</w:t>
      </w:r>
      <w:proofErr w:type="spellEnd"/>
      <w:r w:rsidRPr="000F21CA">
        <w:rPr>
          <w:rFonts w:cs="Times New Roman"/>
          <w:szCs w:val="28"/>
        </w:rPr>
        <w:t xml:space="preserve">, Пирятинській, Кобеляцькій, </w:t>
      </w:r>
      <w:proofErr w:type="spellStart"/>
      <w:r w:rsidRPr="000F21CA">
        <w:rPr>
          <w:rFonts w:cs="Times New Roman"/>
          <w:szCs w:val="28"/>
        </w:rPr>
        <w:t>Хорольській</w:t>
      </w:r>
      <w:proofErr w:type="spellEnd"/>
      <w:r w:rsidRPr="000F21CA">
        <w:rPr>
          <w:rFonts w:cs="Times New Roman"/>
          <w:szCs w:val="28"/>
        </w:rPr>
        <w:t xml:space="preserve">, </w:t>
      </w:r>
      <w:proofErr w:type="spellStart"/>
      <w:r w:rsidRPr="000F21CA">
        <w:rPr>
          <w:rFonts w:cs="Times New Roman"/>
          <w:szCs w:val="28"/>
        </w:rPr>
        <w:t>Шишацькій</w:t>
      </w:r>
      <w:proofErr w:type="spellEnd"/>
      <w:r w:rsidRPr="000F21CA">
        <w:rPr>
          <w:rFonts w:cs="Times New Roman"/>
          <w:szCs w:val="28"/>
        </w:rPr>
        <w:t xml:space="preserve">, </w:t>
      </w:r>
      <w:proofErr w:type="spellStart"/>
      <w:r w:rsidRPr="000F21CA">
        <w:rPr>
          <w:rFonts w:cs="Times New Roman"/>
          <w:szCs w:val="28"/>
        </w:rPr>
        <w:t>Оржицькій</w:t>
      </w:r>
      <w:proofErr w:type="spellEnd"/>
      <w:r w:rsidRPr="000F21CA">
        <w:rPr>
          <w:rFonts w:cs="Times New Roman"/>
          <w:szCs w:val="28"/>
        </w:rPr>
        <w:t xml:space="preserve">, </w:t>
      </w:r>
      <w:proofErr w:type="spellStart"/>
      <w:r w:rsidRPr="000F21CA">
        <w:rPr>
          <w:rFonts w:cs="Times New Roman"/>
          <w:szCs w:val="28"/>
        </w:rPr>
        <w:t>Новооржицькій</w:t>
      </w:r>
      <w:proofErr w:type="spellEnd"/>
      <w:r w:rsidRPr="000F21CA">
        <w:rPr>
          <w:rFonts w:cs="Times New Roman"/>
          <w:szCs w:val="28"/>
        </w:rPr>
        <w:t xml:space="preserve">, </w:t>
      </w:r>
      <w:proofErr w:type="spellStart"/>
      <w:r w:rsidRPr="000F21CA">
        <w:rPr>
          <w:rFonts w:cs="Times New Roman"/>
          <w:szCs w:val="28"/>
        </w:rPr>
        <w:t>Новосанжарській</w:t>
      </w:r>
      <w:proofErr w:type="spellEnd"/>
      <w:r w:rsidRPr="000F21CA">
        <w:rPr>
          <w:rFonts w:cs="Times New Roman"/>
          <w:szCs w:val="28"/>
        </w:rPr>
        <w:t>.</w:t>
      </w:r>
    </w:p>
    <w:p w:rsidR="009A1A90" w:rsidRDefault="009A1A90" w:rsidP="000F21CA">
      <w:pPr>
        <w:ind w:firstLine="708"/>
        <w:jc w:val="both"/>
        <w:rPr>
          <w:rFonts w:cs="Times New Roman"/>
          <w:szCs w:val="28"/>
        </w:rPr>
      </w:pPr>
      <w:r>
        <w:rPr>
          <w:rFonts w:cs="Times New Roman"/>
          <w:szCs w:val="28"/>
        </w:rPr>
        <w:t xml:space="preserve">Зазначені центри нанесені на інтерактивну карту надавачів соціальних послуг області </w:t>
      </w:r>
      <w:hyperlink r:id="rId7" w:history="1">
        <w:r w:rsidRPr="00837B24">
          <w:rPr>
            <w:rStyle w:val="a6"/>
            <w:rFonts w:cs="Times New Roman"/>
            <w:szCs w:val="28"/>
          </w:rPr>
          <w:t>https://poda.gov.ua/attachments/217043</w:t>
        </w:r>
      </w:hyperlink>
      <w:r>
        <w:rPr>
          <w:rFonts w:cs="Times New Roman"/>
          <w:szCs w:val="28"/>
        </w:rPr>
        <w:t xml:space="preserve"> , а також створено окрему тематичну сторінку на порталі ОВА </w:t>
      </w:r>
      <w:hyperlink r:id="rId8" w:history="1">
        <w:r w:rsidRPr="00837B24">
          <w:rPr>
            <w:rStyle w:val="a6"/>
            <w:rFonts w:cs="Times New Roman"/>
            <w:szCs w:val="28"/>
          </w:rPr>
          <w:t>https://poda.gov.ua/attachments/181342</w:t>
        </w:r>
      </w:hyperlink>
      <w:r>
        <w:rPr>
          <w:rFonts w:cs="Times New Roman"/>
          <w:szCs w:val="28"/>
        </w:rPr>
        <w:t xml:space="preserve"> </w:t>
      </w:r>
    </w:p>
    <w:p w:rsidR="000F21CA" w:rsidRDefault="009A1A90" w:rsidP="000F21CA">
      <w:pPr>
        <w:ind w:firstLine="708"/>
        <w:jc w:val="both"/>
        <w:rPr>
          <w:rFonts w:cs="Times New Roman"/>
          <w:szCs w:val="28"/>
        </w:rPr>
      </w:pPr>
      <w:r>
        <w:rPr>
          <w:rFonts w:cs="Times New Roman"/>
          <w:szCs w:val="28"/>
        </w:rPr>
        <w:t xml:space="preserve">Департаментом проведено роботу з </w:t>
      </w:r>
      <w:proofErr w:type="spellStart"/>
      <w:r>
        <w:rPr>
          <w:rFonts w:cs="Times New Roman"/>
          <w:szCs w:val="28"/>
        </w:rPr>
        <w:t>тергромадами</w:t>
      </w:r>
      <w:proofErr w:type="spellEnd"/>
      <w:r>
        <w:rPr>
          <w:rFonts w:cs="Times New Roman"/>
          <w:szCs w:val="28"/>
        </w:rPr>
        <w:t xml:space="preserve"> щодо посилення взаємодії з центрами життєстійкості, в частині проведення спільних заходів спрямованих на підтримку уразливих категорій громадян. </w:t>
      </w:r>
    </w:p>
    <w:p w:rsidR="009A1A90" w:rsidRDefault="009A1A90" w:rsidP="000F21CA">
      <w:pPr>
        <w:ind w:firstLine="708"/>
        <w:jc w:val="both"/>
        <w:rPr>
          <w:rFonts w:cs="Times New Roman"/>
          <w:szCs w:val="28"/>
        </w:rPr>
      </w:pPr>
      <w:r>
        <w:rPr>
          <w:rFonts w:cs="Times New Roman"/>
          <w:szCs w:val="28"/>
        </w:rPr>
        <w:lastRenderedPageBreak/>
        <w:t xml:space="preserve">На постійній основі започатковано проведення заходів центрів життєстійкості з підтримки ментального здоров’я підопічних обласних будинків-інтернатів. </w:t>
      </w:r>
    </w:p>
    <w:p w:rsidR="009A1A90" w:rsidRDefault="009A1A90" w:rsidP="000F21CA">
      <w:pPr>
        <w:ind w:firstLine="708"/>
        <w:jc w:val="both"/>
        <w:rPr>
          <w:rFonts w:cs="Times New Roman"/>
          <w:sz w:val="24"/>
          <w:szCs w:val="28"/>
        </w:rPr>
        <w:sectPr w:rsidR="009A1A90" w:rsidSect="000F21CA">
          <w:pgSz w:w="11906" w:h="16838"/>
          <w:pgMar w:top="426" w:right="424" w:bottom="850" w:left="709" w:header="708" w:footer="708" w:gutter="0"/>
          <w:cols w:space="708"/>
          <w:docGrid w:linePitch="360"/>
        </w:sectPr>
      </w:pPr>
      <w:r>
        <w:rPr>
          <w:rFonts w:cs="Times New Roman"/>
          <w:szCs w:val="28"/>
        </w:rPr>
        <w:t xml:space="preserve">Заходи висвітлюються в соціальних мережах та на офіційних ресурсах ОВА, зокрема: </w:t>
      </w:r>
    </w:p>
    <w:p w:rsidR="009A1A90" w:rsidRPr="009A1A90" w:rsidRDefault="009A1A90" w:rsidP="009A1A90">
      <w:pPr>
        <w:jc w:val="both"/>
        <w:rPr>
          <w:rFonts w:cs="Times New Roman"/>
          <w:sz w:val="26"/>
          <w:szCs w:val="26"/>
        </w:rPr>
      </w:pPr>
      <w:hyperlink r:id="rId9" w:tgtFrame="_blank" w:history="1">
        <w:r w:rsidRPr="009A1A90">
          <w:rPr>
            <w:rFonts w:cs="Times New Roman"/>
            <w:sz w:val="26"/>
            <w:szCs w:val="26"/>
          </w:rPr>
          <w:t>https://poda.gov.ua/news/211465</w:t>
        </w:r>
      </w:hyperlink>
      <w:r w:rsidRPr="009A1A90">
        <w:rPr>
          <w:rFonts w:cs="Times New Roman"/>
          <w:sz w:val="26"/>
          <w:szCs w:val="26"/>
        </w:rPr>
        <w:t xml:space="preserve">, </w:t>
      </w:r>
      <w:hyperlink r:id="rId10" w:tgtFrame="_blank" w:history="1">
        <w:r w:rsidRPr="009A1A90">
          <w:rPr>
            <w:rFonts w:cs="Times New Roman"/>
            <w:sz w:val="26"/>
            <w:szCs w:val="26"/>
          </w:rPr>
          <w:t>https://poda.gov.ua/news/220274</w:t>
        </w:r>
      </w:hyperlink>
      <w:r w:rsidRPr="009A1A90">
        <w:rPr>
          <w:rFonts w:cs="Times New Roman"/>
          <w:sz w:val="26"/>
          <w:szCs w:val="26"/>
        </w:rPr>
        <w:t xml:space="preserve">, </w:t>
      </w:r>
      <w:hyperlink r:id="rId11" w:tgtFrame="_blank" w:history="1">
        <w:r w:rsidRPr="009A1A90">
          <w:rPr>
            <w:rFonts w:cs="Times New Roman"/>
            <w:sz w:val="26"/>
            <w:szCs w:val="26"/>
          </w:rPr>
          <w:t>https://poda.gov.ua/news/221589</w:t>
        </w:r>
      </w:hyperlink>
      <w:r w:rsidRPr="009A1A90">
        <w:rPr>
          <w:rFonts w:cs="Times New Roman"/>
          <w:sz w:val="26"/>
          <w:szCs w:val="26"/>
        </w:rPr>
        <w:t>,</w:t>
      </w:r>
    </w:p>
    <w:p w:rsidR="009A1A90" w:rsidRPr="009A1A90" w:rsidRDefault="009A1A90" w:rsidP="009A1A90">
      <w:pPr>
        <w:jc w:val="both"/>
        <w:rPr>
          <w:rFonts w:cs="Times New Roman"/>
          <w:sz w:val="26"/>
          <w:szCs w:val="26"/>
        </w:rPr>
      </w:pPr>
      <w:hyperlink r:id="rId12" w:tgtFrame="_blank" w:history="1">
        <w:r w:rsidRPr="009A1A90">
          <w:rPr>
            <w:rFonts w:cs="Times New Roman"/>
            <w:sz w:val="26"/>
            <w:szCs w:val="26"/>
          </w:rPr>
          <w:t>https://poda.gov.ua/news/222044</w:t>
        </w:r>
      </w:hyperlink>
      <w:r w:rsidRPr="009A1A90">
        <w:rPr>
          <w:rFonts w:cs="Times New Roman"/>
          <w:sz w:val="26"/>
          <w:szCs w:val="26"/>
        </w:rPr>
        <w:t xml:space="preserve">, </w:t>
      </w:r>
      <w:hyperlink r:id="rId13" w:history="1">
        <w:r w:rsidRPr="009A1A90">
          <w:rPr>
            <w:sz w:val="26"/>
            <w:szCs w:val="26"/>
          </w:rPr>
          <w:t>https://poda.gov.ua/news/231063</w:t>
        </w:r>
      </w:hyperlink>
      <w:r w:rsidRPr="009A1A90">
        <w:rPr>
          <w:rFonts w:cs="Times New Roman"/>
          <w:sz w:val="26"/>
          <w:szCs w:val="26"/>
        </w:rPr>
        <w:t xml:space="preserve">, </w:t>
      </w:r>
      <w:hyperlink r:id="rId14" w:tgtFrame="_blank" w:history="1">
        <w:r w:rsidRPr="009A1A90">
          <w:rPr>
            <w:rFonts w:cs="Times New Roman"/>
            <w:sz w:val="26"/>
            <w:szCs w:val="26"/>
          </w:rPr>
          <w:t>https://poda.gov.ua/news/232975</w:t>
        </w:r>
      </w:hyperlink>
      <w:r w:rsidRPr="009A1A90">
        <w:rPr>
          <w:rFonts w:cs="Times New Roman"/>
          <w:sz w:val="26"/>
          <w:szCs w:val="26"/>
        </w:rPr>
        <w:t xml:space="preserve">, </w:t>
      </w:r>
      <w:hyperlink r:id="rId15" w:tgtFrame="_blank" w:history="1">
        <w:r w:rsidRPr="009A1A90">
          <w:rPr>
            <w:rFonts w:cs="Times New Roman"/>
            <w:sz w:val="26"/>
            <w:szCs w:val="26"/>
          </w:rPr>
          <w:t>https://poda.gov.ua/news/224959</w:t>
        </w:r>
      </w:hyperlink>
      <w:r w:rsidRPr="009A1A90">
        <w:rPr>
          <w:rFonts w:cs="Times New Roman"/>
          <w:sz w:val="26"/>
          <w:szCs w:val="26"/>
        </w:rPr>
        <w:t xml:space="preserve">, </w:t>
      </w:r>
      <w:hyperlink r:id="rId16" w:tgtFrame="_blank" w:history="1">
        <w:r w:rsidRPr="009A1A90">
          <w:rPr>
            <w:rFonts w:cs="Times New Roman"/>
            <w:sz w:val="26"/>
            <w:szCs w:val="26"/>
          </w:rPr>
          <w:t>https://poda.gov.ua/news/230368</w:t>
        </w:r>
      </w:hyperlink>
      <w:r>
        <w:rPr>
          <w:rFonts w:cs="Times New Roman"/>
          <w:sz w:val="26"/>
          <w:szCs w:val="26"/>
        </w:rPr>
        <w:t>.</w:t>
      </w:r>
    </w:p>
    <w:p w:rsidR="009A1A90" w:rsidRPr="009A1A90" w:rsidRDefault="009A1A90" w:rsidP="000F21CA">
      <w:pPr>
        <w:jc w:val="center"/>
        <w:rPr>
          <w:rFonts w:cs="Times New Roman"/>
          <w:szCs w:val="28"/>
        </w:rPr>
      </w:pPr>
    </w:p>
    <w:p w:rsidR="000F21CA" w:rsidRPr="002437A4" w:rsidRDefault="002437A4" w:rsidP="002437A4">
      <w:pPr>
        <w:ind w:firstLine="709"/>
        <w:jc w:val="both"/>
      </w:pPr>
      <w:bookmarkStart w:id="0" w:name="_GoBack"/>
      <w:r w:rsidRPr="002437A4">
        <w:t xml:space="preserve">Додатково, </w:t>
      </w:r>
      <w:r w:rsidR="000F21CA" w:rsidRPr="002437A4">
        <w:t xml:space="preserve">Полтавська область є активним учасником програми </w:t>
      </w:r>
      <w:r w:rsidR="000F21CA" w:rsidRPr="002437A4">
        <w:rPr>
          <w:lang w:val="en-US"/>
        </w:rPr>
        <w:t>EU</w:t>
      </w:r>
      <w:r w:rsidR="000F21CA" w:rsidRPr="002437A4">
        <w:t>4</w:t>
      </w:r>
      <w:r w:rsidR="000F21CA" w:rsidRPr="002437A4">
        <w:rPr>
          <w:lang w:val="en-US"/>
        </w:rPr>
        <w:t>Recovery</w:t>
      </w:r>
      <w:r w:rsidR="000F21CA" w:rsidRPr="002437A4">
        <w:t xml:space="preserve">, яка реалізується </w:t>
      </w:r>
      <w:r w:rsidR="000F21CA" w:rsidRPr="002437A4">
        <w:rPr>
          <w:rFonts w:cs="Times New Roman"/>
          <w:szCs w:val="28"/>
        </w:rPr>
        <w:t>Програма ООН із відновлення та розбудови миру</w:t>
      </w:r>
      <w:r w:rsidR="000F21CA" w:rsidRPr="002437A4">
        <w:t xml:space="preserve"> (ПРООН) за фінансової підтримки ЄС та Урядів інших країни. </w:t>
      </w:r>
    </w:p>
    <w:p w:rsidR="000F21CA" w:rsidRPr="002437A4" w:rsidRDefault="000F21CA" w:rsidP="002437A4">
      <w:pPr>
        <w:ind w:right="425" w:firstLine="709"/>
        <w:jc w:val="both"/>
        <w:rPr>
          <w:rFonts w:cs="Times New Roman"/>
          <w:szCs w:val="28"/>
        </w:rPr>
      </w:pPr>
      <w:r w:rsidRPr="002437A4">
        <w:rPr>
          <w:rFonts w:cs="Times New Roman"/>
          <w:szCs w:val="28"/>
        </w:rPr>
        <w:t>В межах програмного компоненту розвитку соціальних послуг ПРООН надала підтримку в реалізації ініціативи по облаштуванні по простів соціальної адаптації в пілотних громадах обраних областей (Полтавська, Дніпропетровська, Миколаївська, Харківська, Сумська, Чернігівська, Чернівецька)</w:t>
      </w:r>
    </w:p>
    <w:p w:rsidR="000F21CA" w:rsidRPr="002437A4" w:rsidRDefault="000F21CA" w:rsidP="002437A4">
      <w:pPr>
        <w:pStyle w:val="a3"/>
        <w:ind w:left="0" w:right="425" w:firstLine="709"/>
        <w:jc w:val="both"/>
        <w:rPr>
          <w:rFonts w:cs="Times New Roman"/>
          <w:szCs w:val="28"/>
        </w:rPr>
      </w:pPr>
      <w:r w:rsidRPr="002437A4">
        <w:rPr>
          <w:rFonts w:cs="Times New Roman"/>
          <w:szCs w:val="28"/>
        </w:rPr>
        <w:t xml:space="preserve">Грантовим проектом передбачено облаштування приміщення як майданчика для групової роботи з різними категоріями населення з метою забезпечення соціальної та ментальної адаптації до викликів воєнного стану: кімнати для проведення групових та індивідуальних занять на різну тематику, організація дозвілля та різних ментально терапевтичних заходів, тренінгова робота тощо. </w:t>
      </w:r>
    </w:p>
    <w:p w:rsidR="000F21CA" w:rsidRPr="002437A4" w:rsidRDefault="000F21CA" w:rsidP="002437A4">
      <w:pPr>
        <w:pStyle w:val="a3"/>
        <w:ind w:left="0" w:right="425" w:firstLine="709"/>
        <w:jc w:val="both"/>
        <w:rPr>
          <w:rFonts w:cs="Times New Roman"/>
          <w:szCs w:val="28"/>
        </w:rPr>
      </w:pPr>
      <w:r w:rsidRPr="002437A4">
        <w:rPr>
          <w:rFonts w:cs="Times New Roman"/>
          <w:szCs w:val="28"/>
        </w:rPr>
        <w:t xml:space="preserve">ПРООН для облаштування просторів надала всі необхідні меблі, комп’ютерну та мультимедійну техніку, яка передбачена у специфікації </w:t>
      </w:r>
      <w:proofErr w:type="spellStart"/>
      <w:r w:rsidRPr="002437A4">
        <w:rPr>
          <w:rFonts w:cs="Times New Roman"/>
          <w:szCs w:val="28"/>
        </w:rPr>
        <w:t>проєкту</w:t>
      </w:r>
      <w:proofErr w:type="spellEnd"/>
      <w:r w:rsidRPr="002437A4">
        <w:rPr>
          <w:rFonts w:cs="Times New Roman"/>
          <w:szCs w:val="28"/>
        </w:rPr>
        <w:t xml:space="preserve">. </w:t>
      </w:r>
    </w:p>
    <w:p w:rsidR="000F21CA" w:rsidRPr="002437A4" w:rsidRDefault="000F21CA" w:rsidP="002437A4">
      <w:pPr>
        <w:pStyle w:val="a3"/>
        <w:ind w:left="0" w:right="425" w:firstLine="709"/>
        <w:jc w:val="both"/>
        <w:rPr>
          <w:rFonts w:cs="Times New Roman"/>
          <w:szCs w:val="28"/>
        </w:rPr>
      </w:pPr>
      <w:r w:rsidRPr="002437A4">
        <w:rPr>
          <w:rFonts w:cs="Times New Roman"/>
          <w:szCs w:val="28"/>
        </w:rPr>
        <w:t xml:space="preserve">Відповідно кожна громада учасниця при підготовці заявки самостійно формувала концепцію наповнення діяльності простору – тобто які заходи та для якої категорії населення будуть там проводитись. </w:t>
      </w:r>
    </w:p>
    <w:p w:rsidR="000F21CA" w:rsidRPr="002437A4" w:rsidRDefault="000F21CA" w:rsidP="002437A4">
      <w:pPr>
        <w:pStyle w:val="a3"/>
        <w:ind w:left="0" w:right="425" w:firstLine="709"/>
        <w:jc w:val="both"/>
        <w:rPr>
          <w:rFonts w:cs="Times New Roman"/>
          <w:szCs w:val="28"/>
        </w:rPr>
      </w:pPr>
      <w:r w:rsidRPr="002437A4">
        <w:rPr>
          <w:rFonts w:cs="Times New Roman"/>
          <w:szCs w:val="28"/>
        </w:rPr>
        <w:t xml:space="preserve">Наприклад: заняття «Університету третього віку», групи підтримки з подолання втрати, заняття з арт терапії, зустрічі з психологами центрів соціальних служб тощо. </w:t>
      </w:r>
    </w:p>
    <w:p w:rsidR="000F21CA" w:rsidRPr="002437A4" w:rsidRDefault="000F21CA" w:rsidP="002437A4">
      <w:pPr>
        <w:pStyle w:val="a3"/>
        <w:ind w:left="0" w:right="425" w:firstLine="709"/>
        <w:jc w:val="both"/>
        <w:rPr>
          <w:rFonts w:cs="Times New Roman"/>
          <w:szCs w:val="28"/>
        </w:rPr>
      </w:pPr>
      <w:r w:rsidRPr="002437A4">
        <w:rPr>
          <w:rFonts w:cs="Times New Roman"/>
          <w:szCs w:val="28"/>
        </w:rPr>
        <w:t>Участь у ініціативі від області беруть 5 територіальних громад:</w:t>
      </w:r>
      <w:r w:rsidR="002437A4">
        <w:rPr>
          <w:rFonts w:cs="Times New Roman"/>
          <w:szCs w:val="28"/>
        </w:rPr>
        <w:t xml:space="preserve"> </w:t>
      </w:r>
      <w:r w:rsidRPr="002437A4">
        <w:rPr>
          <w:rFonts w:cs="Times New Roman"/>
          <w:szCs w:val="28"/>
        </w:rPr>
        <w:t xml:space="preserve">Полтавська міська </w:t>
      </w:r>
      <w:proofErr w:type="spellStart"/>
      <w:r w:rsidRPr="002437A4">
        <w:rPr>
          <w:rFonts w:cs="Times New Roman"/>
          <w:szCs w:val="28"/>
        </w:rPr>
        <w:t>тергромада</w:t>
      </w:r>
      <w:proofErr w:type="spellEnd"/>
      <w:r w:rsidRPr="002437A4">
        <w:rPr>
          <w:rFonts w:cs="Times New Roman"/>
          <w:szCs w:val="28"/>
        </w:rPr>
        <w:t xml:space="preserve"> </w:t>
      </w:r>
      <w:r w:rsidRPr="002437A4">
        <w:rPr>
          <w:rFonts w:cs="Times New Roman"/>
          <w:i/>
          <w:szCs w:val="28"/>
        </w:rPr>
        <w:t>(2 простори в Шевченківському та Подільському районах міста Полтава);</w:t>
      </w:r>
      <w:r w:rsidRPr="002437A4">
        <w:rPr>
          <w:rFonts w:cs="Times New Roman"/>
          <w:szCs w:val="28"/>
        </w:rPr>
        <w:t xml:space="preserve">Миргородська міська </w:t>
      </w:r>
      <w:proofErr w:type="spellStart"/>
      <w:r w:rsidRPr="002437A4">
        <w:rPr>
          <w:rFonts w:cs="Times New Roman"/>
          <w:szCs w:val="28"/>
        </w:rPr>
        <w:t>тергромади</w:t>
      </w:r>
      <w:proofErr w:type="spellEnd"/>
      <w:r w:rsidRPr="002437A4">
        <w:rPr>
          <w:rFonts w:cs="Times New Roman"/>
          <w:szCs w:val="28"/>
        </w:rPr>
        <w:t>;</w:t>
      </w:r>
      <w:r w:rsidR="002437A4">
        <w:rPr>
          <w:rFonts w:cs="Times New Roman"/>
          <w:szCs w:val="28"/>
        </w:rPr>
        <w:t xml:space="preserve"> </w:t>
      </w:r>
      <w:proofErr w:type="spellStart"/>
      <w:r w:rsidRPr="002437A4">
        <w:rPr>
          <w:rFonts w:cs="Times New Roman"/>
          <w:szCs w:val="28"/>
        </w:rPr>
        <w:t>Опішнянська</w:t>
      </w:r>
      <w:proofErr w:type="spellEnd"/>
      <w:r w:rsidRPr="002437A4">
        <w:rPr>
          <w:rFonts w:cs="Times New Roman"/>
          <w:szCs w:val="28"/>
        </w:rPr>
        <w:t xml:space="preserve"> селищна </w:t>
      </w:r>
      <w:proofErr w:type="spellStart"/>
      <w:r w:rsidRPr="002437A4">
        <w:rPr>
          <w:rFonts w:cs="Times New Roman"/>
          <w:szCs w:val="28"/>
        </w:rPr>
        <w:t>тергромада</w:t>
      </w:r>
      <w:proofErr w:type="spellEnd"/>
      <w:r w:rsidRPr="002437A4">
        <w:rPr>
          <w:rFonts w:cs="Times New Roman"/>
          <w:szCs w:val="28"/>
        </w:rPr>
        <w:t>;</w:t>
      </w:r>
      <w:r w:rsidR="002437A4">
        <w:rPr>
          <w:rFonts w:cs="Times New Roman"/>
          <w:szCs w:val="28"/>
        </w:rPr>
        <w:t xml:space="preserve"> </w:t>
      </w:r>
      <w:proofErr w:type="spellStart"/>
      <w:r w:rsidR="002437A4">
        <w:rPr>
          <w:rFonts w:cs="Times New Roman"/>
          <w:szCs w:val="28"/>
        </w:rPr>
        <w:t>Котелевська</w:t>
      </w:r>
      <w:proofErr w:type="spellEnd"/>
      <w:r w:rsidR="002437A4">
        <w:rPr>
          <w:rFonts w:cs="Times New Roman"/>
          <w:szCs w:val="28"/>
        </w:rPr>
        <w:t xml:space="preserve"> селищна </w:t>
      </w:r>
      <w:proofErr w:type="spellStart"/>
      <w:r w:rsidR="002437A4">
        <w:rPr>
          <w:rFonts w:cs="Times New Roman"/>
          <w:szCs w:val="28"/>
        </w:rPr>
        <w:t>тергромада</w:t>
      </w:r>
      <w:proofErr w:type="spellEnd"/>
      <w:r w:rsidR="002437A4">
        <w:rPr>
          <w:rFonts w:cs="Times New Roman"/>
          <w:szCs w:val="28"/>
        </w:rPr>
        <w:t xml:space="preserve">; </w:t>
      </w:r>
      <w:r w:rsidRPr="002437A4">
        <w:rPr>
          <w:rFonts w:cs="Times New Roman"/>
          <w:szCs w:val="28"/>
        </w:rPr>
        <w:t xml:space="preserve">Кременчуцька міська </w:t>
      </w:r>
      <w:proofErr w:type="spellStart"/>
      <w:r w:rsidRPr="002437A4">
        <w:rPr>
          <w:rFonts w:cs="Times New Roman"/>
          <w:szCs w:val="28"/>
        </w:rPr>
        <w:t>тергромада</w:t>
      </w:r>
      <w:proofErr w:type="spellEnd"/>
      <w:r w:rsidRPr="002437A4">
        <w:rPr>
          <w:rFonts w:cs="Times New Roman"/>
          <w:szCs w:val="28"/>
        </w:rPr>
        <w:t>;</w:t>
      </w:r>
    </w:p>
    <w:p w:rsidR="000F21CA" w:rsidRPr="002437A4" w:rsidRDefault="000F21CA" w:rsidP="002437A4">
      <w:pPr>
        <w:pStyle w:val="a3"/>
        <w:ind w:left="0" w:right="425" w:firstLine="709"/>
        <w:jc w:val="both"/>
        <w:rPr>
          <w:rFonts w:cs="Times New Roman"/>
          <w:szCs w:val="28"/>
        </w:rPr>
      </w:pPr>
    </w:p>
    <w:p w:rsidR="000F21CA" w:rsidRPr="002437A4" w:rsidRDefault="000F21CA" w:rsidP="002437A4">
      <w:pPr>
        <w:pStyle w:val="a3"/>
        <w:ind w:left="0" w:right="425" w:firstLine="709"/>
        <w:jc w:val="both"/>
        <w:rPr>
          <w:rFonts w:cs="Times New Roman"/>
          <w:szCs w:val="28"/>
        </w:rPr>
      </w:pPr>
      <w:r w:rsidRPr="002437A4">
        <w:rPr>
          <w:rFonts w:cs="Times New Roman"/>
          <w:szCs w:val="28"/>
        </w:rPr>
        <w:t xml:space="preserve">Основний меседж: підтримка територіальних громад та посилення їх спроможності забезпечувати надання якісних та доступних соціальних послуг в період війни для постраждалого цивільного населення (в </w:t>
      </w:r>
      <w:proofErr w:type="spellStart"/>
      <w:r w:rsidRPr="002437A4">
        <w:rPr>
          <w:rFonts w:cs="Times New Roman"/>
          <w:szCs w:val="28"/>
        </w:rPr>
        <w:t>т.ч</w:t>
      </w:r>
      <w:proofErr w:type="spellEnd"/>
      <w:r w:rsidRPr="002437A4">
        <w:rPr>
          <w:rFonts w:cs="Times New Roman"/>
          <w:szCs w:val="28"/>
        </w:rPr>
        <w:t xml:space="preserve">. ВПО), допомогти людям адаптуватись до нових умов, підтримати їх ментальне здоров’я. </w:t>
      </w:r>
    </w:p>
    <w:p w:rsidR="000F21CA" w:rsidRPr="002437A4" w:rsidRDefault="000F21CA" w:rsidP="002437A4">
      <w:pPr>
        <w:pStyle w:val="a3"/>
        <w:ind w:left="0" w:right="425" w:firstLine="709"/>
        <w:jc w:val="both"/>
        <w:rPr>
          <w:rFonts w:cs="Times New Roman"/>
          <w:szCs w:val="28"/>
        </w:rPr>
      </w:pPr>
    </w:p>
    <w:p w:rsidR="000F21CA" w:rsidRPr="002437A4" w:rsidRDefault="000F21CA" w:rsidP="002437A4">
      <w:pPr>
        <w:pStyle w:val="a3"/>
        <w:ind w:left="0" w:right="425" w:firstLine="709"/>
        <w:jc w:val="both"/>
        <w:rPr>
          <w:rFonts w:cs="Times New Roman"/>
          <w:szCs w:val="28"/>
        </w:rPr>
      </w:pPr>
      <w:r w:rsidRPr="002437A4">
        <w:rPr>
          <w:rFonts w:cs="Times New Roman"/>
          <w:szCs w:val="28"/>
        </w:rPr>
        <w:t>Простори відкриті в 2024 році</w:t>
      </w:r>
      <w:r w:rsidR="008C78F5" w:rsidRPr="002437A4">
        <w:rPr>
          <w:rFonts w:cs="Times New Roman"/>
          <w:szCs w:val="28"/>
        </w:rPr>
        <w:t xml:space="preserve">. Загальна площа просторів 756 </w:t>
      </w:r>
      <w:proofErr w:type="spellStart"/>
      <w:r w:rsidR="008C78F5" w:rsidRPr="002437A4">
        <w:rPr>
          <w:rFonts w:cs="Times New Roman"/>
          <w:szCs w:val="28"/>
        </w:rPr>
        <w:t>кв.м</w:t>
      </w:r>
      <w:proofErr w:type="spellEnd"/>
      <w:r w:rsidR="008C78F5" w:rsidRPr="002437A4">
        <w:rPr>
          <w:rFonts w:cs="Times New Roman"/>
          <w:szCs w:val="28"/>
        </w:rPr>
        <w:t xml:space="preserve">., передбачена функціональна спроможність 36 тисяч послуг на рік. Грантова підтримка ПРООН – 4,3 </w:t>
      </w:r>
      <w:proofErr w:type="spellStart"/>
      <w:r w:rsidR="008C78F5" w:rsidRPr="002437A4">
        <w:rPr>
          <w:rFonts w:cs="Times New Roman"/>
          <w:szCs w:val="28"/>
        </w:rPr>
        <w:t>млн.грн</w:t>
      </w:r>
      <w:proofErr w:type="spellEnd"/>
      <w:r w:rsidR="008C78F5" w:rsidRPr="002437A4">
        <w:rPr>
          <w:rFonts w:cs="Times New Roman"/>
          <w:szCs w:val="28"/>
        </w:rPr>
        <w:t>. Ремонти приміщень здійснені за кошти місцевих бюджетів громад.</w:t>
      </w:r>
    </w:p>
    <w:bookmarkEnd w:id="0"/>
    <w:p w:rsidR="000F21CA" w:rsidRPr="002437A4" w:rsidRDefault="000F21CA" w:rsidP="002437A4">
      <w:pPr>
        <w:ind w:firstLine="709"/>
        <w:rPr>
          <w:rFonts w:cs="Times New Roman"/>
          <w:szCs w:val="28"/>
        </w:rPr>
      </w:pPr>
    </w:p>
    <w:p w:rsidR="00FC290B" w:rsidRDefault="00FC290B"/>
    <w:sectPr w:rsidR="00FC290B" w:rsidSect="009A1A90">
      <w:type w:val="continuous"/>
      <w:pgSz w:w="11906" w:h="16838"/>
      <w:pgMar w:top="426" w:right="424"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75B4"/>
    <w:multiLevelType w:val="hybridMultilevel"/>
    <w:tmpl w:val="87AC4F74"/>
    <w:lvl w:ilvl="0" w:tplc="35F2EE6E">
      <w:numFmt w:val="bullet"/>
      <w:lvlText w:val="-"/>
      <w:lvlJc w:val="left"/>
      <w:pPr>
        <w:ind w:left="360"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420326E5"/>
    <w:multiLevelType w:val="hybridMultilevel"/>
    <w:tmpl w:val="73F86474"/>
    <w:lvl w:ilvl="0" w:tplc="4C30274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CA"/>
    <w:rsid w:val="000F21CA"/>
    <w:rsid w:val="002437A4"/>
    <w:rsid w:val="003846E5"/>
    <w:rsid w:val="008C78F5"/>
    <w:rsid w:val="009A1A90"/>
    <w:rsid w:val="00FC2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4193"/>
  <w15:chartTrackingRefBased/>
  <w15:docId w15:val="{3B76D8CF-E44C-4B95-BAEA-185591F3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1CA"/>
    <w:pPr>
      <w:ind w:left="720"/>
      <w:contextualSpacing/>
    </w:pPr>
  </w:style>
  <w:style w:type="table" w:styleId="a4">
    <w:name w:val="Table Grid"/>
    <w:basedOn w:val="a1"/>
    <w:uiPriority w:val="39"/>
    <w:rsid w:val="000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F21CA"/>
    <w:pPr>
      <w:spacing w:before="100" w:beforeAutospacing="1" w:after="100" w:afterAutospacing="1"/>
    </w:pPr>
    <w:rPr>
      <w:rFonts w:eastAsia="Times New Roman" w:cs="Times New Roman"/>
      <w:sz w:val="24"/>
      <w:szCs w:val="24"/>
      <w:lang w:eastAsia="uk-UA"/>
    </w:rPr>
  </w:style>
  <w:style w:type="character" w:styleId="a6">
    <w:name w:val="Hyperlink"/>
    <w:basedOn w:val="a0"/>
    <w:uiPriority w:val="99"/>
    <w:unhideWhenUsed/>
    <w:rsid w:val="009A1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995169">
      <w:bodyDiv w:val="1"/>
      <w:marLeft w:val="0"/>
      <w:marRight w:val="0"/>
      <w:marTop w:val="0"/>
      <w:marBottom w:val="0"/>
      <w:divBdr>
        <w:top w:val="none" w:sz="0" w:space="0" w:color="auto"/>
        <w:left w:val="none" w:sz="0" w:space="0" w:color="auto"/>
        <w:bottom w:val="none" w:sz="0" w:space="0" w:color="auto"/>
        <w:right w:val="none" w:sz="0" w:space="0" w:color="auto"/>
      </w:divBdr>
      <w:divsChild>
        <w:div w:id="1051001471">
          <w:marLeft w:val="0"/>
          <w:marRight w:val="0"/>
          <w:marTop w:val="120"/>
          <w:marBottom w:val="0"/>
          <w:divBdr>
            <w:top w:val="none" w:sz="0" w:space="0" w:color="auto"/>
            <w:left w:val="none" w:sz="0" w:space="0" w:color="auto"/>
            <w:bottom w:val="none" w:sz="0" w:space="0" w:color="auto"/>
            <w:right w:val="none" w:sz="0" w:space="0" w:color="auto"/>
          </w:divBdr>
          <w:divsChild>
            <w:div w:id="715660882">
              <w:marLeft w:val="0"/>
              <w:marRight w:val="0"/>
              <w:marTop w:val="0"/>
              <w:marBottom w:val="0"/>
              <w:divBdr>
                <w:top w:val="none" w:sz="0" w:space="0" w:color="auto"/>
                <w:left w:val="none" w:sz="0" w:space="0" w:color="auto"/>
                <w:bottom w:val="none" w:sz="0" w:space="0" w:color="auto"/>
                <w:right w:val="none" w:sz="0" w:space="0" w:color="auto"/>
              </w:divBdr>
            </w:div>
          </w:divsChild>
        </w:div>
        <w:div w:id="859004918">
          <w:marLeft w:val="0"/>
          <w:marRight w:val="0"/>
          <w:marTop w:val="120"/>
          <w:marBottom w:val="0"/>
          <w:divBdr>
            <w:top w:val="none" w:sz="0" w:space="0" w:color="auto"/>
            <w:left w:val="none" w:sz="0" w:space="0" w:color="auto"/>
            <w:bottom w:val="none" w:sz="0" w:space="0" w:color="auto"/>
            <w:right w:val="none" w:sz="0" w:space="0" w:color="auto"/>
          </w:divBdr>
          <w:divsChild>
            <w:div w:id="1092314581">
              <w:marLeft w:val="0"/>
              <w:marRight w:val="0"/>
              <w:marTop w:val="0"/>
              <w:marBottom w:val="0"/>
              <w:divBdr>
                <w:top w:val="none" w:sz="0" w:space="0" w:color="auto"/>
                <w:left w:val="none" w:sz="0" w:space="0" w:color="auto"/>
                <w:bottom w:val="none" w:sz="0" w:space="0" w:color="auto"/>
                <w:right w:val="none" w:sz="0" w:space="0" w:color="auto"/>
              </w:divBdr>
            </w:div>
          </w:divsChild>
        </w:div>
        <w:div w:id="575288315">
          <w:marLeft w:val="0"/>
          <w:marRight w:val="0"/>
          <w:marTop w:val="120"/>
          <w:marBottom w:val="0"/>
          <w:divBdr>
            <w:top w:val="none" w:sz="0" w:space="0" w:color="auto"/>
            <w:left w:val="none" w:sz="0" w:space="0" w:color="auto"/>
            <w:bottom w:val="none" w:sz="0" w:space="0" w:color="auto"/>
            <w:right w:val="none" w:sz="0" w:space="0" w:color="auto"/>
          </w:divBdr>
          <w:divsChild>
            <w:div w:id="388918487">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gov.ua/attachments/181342" TargetMode="External"/><Relationship Id="rId13" Type="http://schemas.openxmlformats.org/officeDocument/2006/relationships/hyperlink" Target="https://poda.gov.ua/news/2310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da.gov.ua/attachments/217043" TargetMode="External"/><Relationship Id="rId12" Type="http://schemas.openxmlformats.org/officeDocument/2006/relationships/hyperlink" Target="https://poda.gov.ua/news/22204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da.gov.ua/news/23036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da.gov.ua/news/221589" TargetMode="External"/><Relationship Id="rId5" Type="http://schemas.openxmlformats.org/officeDocument/2006/relationships/webSettings" Target="webSettings.xml"/><Relationship Id="rId15" Type="http://schemas.openxmlformats.org/officeDocument/2006/relationships/hyperlink" Target="https://poda.gov.ua/news/224959" TargetMode="External"/><Relationship Id="rId10" Type="http://schemas.openxmlformats.org/officeDocument/2006/relationships/hyperlink" Target="https://poda.gov.ua/news/220274" TargetMode="External"/><Relationship Id="rId4" Type="http://schemas.openxmlformats.org/officeDocument/2006/relationships/settings" Target="settings.xml"/><Relationship Id="rId9" Type="http://schemas.openxmlformats.org/officeDocument/2006/relationships/hyperlink" Target="https://poda.gov.ua/news/211465" TargetMode="External"/><Relationship Id="rId14" Type="http://schemas.openxmlformats.org/officeDocument/2006/relationships/hyperlink" Target="https://poda.gov.ua/news/232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3087-2849-4557-BB59-01D27688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3253</Words>
  <Characters>1855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2025-10-17T12:44:00Z</dcterms:created>
  <dcterms:modified xsi:type="dcterms:W3CDTF">2025-10-17T12:54:00Z</dcterms:modified>
</cp:coreProperties>
</file>