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D22" w:rsidRDefault="00582D22" w:rsidP="00582D22">
      <w:pPr>
        <w:ind w:left="5664" w:firstLine="1"/>
        <w:rPr>
          <w:sz w:val="28"/>
          <w:szCs w:val="28"/>
          <w:lang w:val="uk-UA"/>
        </w:rPr>
      </w:pPr>
      <w:r w:rsidRPr="00F468D6">
        <w:rPr>
          <w:sz w:val="28"/>
          <w:szCs w:val="28"/>
          <w:lang w:val="uk-UA"/>
        </w:rPr>
        <w:t>ЗАТВЕРДЖЕНО</w:t>
      </w:r>
      <w:r w:rsidRPr="00AF22D8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</w:t>
      </w:r>
      <w:r w:rsidRPr="00AB36AC"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Розпорядження голови</w:t>
      </w:r>
      <w:r w:rsidRPr="00AB36AC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обласної державної</w:t>
      </w:r>
    </w:p>
    <w:p w:rsidR="00582D22" w:rsidRPr="00AB36AC" w:rsidRDefault="00582D22" w:rsidP="00582D22">
      <w:pPr>
        <w:tabs>
          <w:tab w:val="left" w:pos="558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ab/>
        <w:t xml:space="preserve"> адміністрації</w:t>
      </w:r>
    </w:p>
    <w:p w:rsidR="00582D22" w:rsidRPr="009B2395" w:rsidRDefault="00582D22" w:rsidP="00582D22">
      <w:pPr>
        <w:ind w:firstLine="709"/>
        <w:jc w:val="center"/>
        <w:rPr>
          <w:sz w:val="28"/>
          <w:szCs w:val="28"/>
          <w:lang w:val="uk-UA"/>
        </w:rPr>
      </w:pPr>
      <w:r w:rsidRPr="009B2395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r w:rsidRPr="009B2395">
        <w:rPr>
          <w:sz w:val="28"/>
          <w:szCs w:val="28"/>
          <w:lang w:val="uk-UA"/>
        </w:rPr>
        <w:t xml:space="preserve">05.04.2011 №148                                                                                                     </w:t>
      </w:r>
    </w:p>
    <w:p w:rsidR="00582D22" w:rsidRPr="00AF22D8" w:rsidRDefault="00582D22" w:rsidP="00582D22">
      <w:pPr>
        <w:ind w:firstLine="709"/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</w:p>
    <w:p w:rsidR="00582D22" w:rsidRDefault="00582D22" w:rsidP="00582D22">
      <w:pPr>
        <w:ind w:firstLine="709"/>
        <w:jc w:val="center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center"/>
        <w:rPr>
          <w:sz w:val="28"/>
          <w:szCs w:val="28"/>
          <w:lang w:val="uk-UA"/>
        </w:rPr>
      </w:pPr>
    </w:p>
    <w:p w:rsidR="00582D22" w:rsidRPr="00C927C1" w:rsidRDefault="00582D22" w:rsidP="00582D22">
      <w:pPr>
        <w:jc w:val="center"/>
        <w:rPr>
          <w:color w:val="0000FF"/>
          <w:sz w:val="28"/>
          <w:szCs w:val="28"/>
          <w:lang w:val="uk-UA"/>
        </w:rPr>
      </w:pPr>
      <w:r w:rsidRPr="00F468D6">
        <w:rPr>
          <w:sz w:val="28"/>
          <w:szCs w:val="28"/>
          <w:lang w:val="uk-UA"/>
        </w:rPr>
        <w:t>ПОЛОЖЕННЯ</w:t>
      </w:r>
      <w:r w:rsidRPr="00F468D6">
        <w:rPr>
          <w:sz w:val="28"/>
          <w:szCs w:val="28"/>
          <w:lang w:val="uk-UA"/>
        </w:rPr>
        <w:br/>
        <w:t>про міжвідомчу координаційно-методичну раду з</w:t>
      </w:r>
      <w:r w:rsidRPr="00F468D6">
        <w:rPr>
          <w:sz w:val="28"/>
          <w:szCs w:val="28"/>
          <w:lang w:val="uk-UA"/>
        </w:rPr>
        <w:br/>
        <w:t>правової освіти населення при обласній державній</w:t>
      </w:r>
      <w:r w:rsidRPr="00F468D6">
        <w:rPr>
          <w:sz w:val="28"/>
          <w:szCs w:val="28"/>
          <w:lang w:val="uk-UA"/>
        </w:rPr>
        <w:br/>
        <w:t>адміністрації</w:t>
      </w:r>
    </w:p>
    <w:p w:rsidR="00582D22" w:rsidRPr="00C927C1" w:rsidRDefault="00582D22" w:rsidP="00582D22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431AF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431AF5">
        <w:rPr>
          <w:sz w:val="28"/>
          <w:szCs w:val="28"/>
          <w:lang w:val="uk-UA"/>
        </w:rPr>
        <w:t>Міжвідомча</w:t>
      </w:r>
      <w:r w:rsidRPr="00431AF5">
        <w:rPr>
          <w:sz w:val="28"/>
          <w:szCs w:val="28"/>
        </w:rPr>
        <w:t>  </w:t>
      </w:r>
      <w:r w:rsidRPr="00431AF5">
        <w:rPr>
          <w:sz w:val="28"/>
          <w:szCs w:val="28"/>
          <w:lang w:val="uk-UA"/>
        </w:rPr>
        <w:t xml:space="preserve"> координаційно-методична</w:t>
      </w:r>
      <w:r w:rsidRPr="00431AF5">
        <w:rPr>
          <w:sz w:val="28"/>
          <w:szCs w:val="28"/>
        </w:rPr>
        <w:t> </w:t>
      </w:r>
      <w:r w:rsidRPr="00431AF5">
        <w:rPr>
          <w:sz w:val="28"/>
          <w:szCs w:val="28"/>
          <w:lang w:val="uk-UA"/>
        </w:rPr>
        <w:t xml:space="preserve"> рада</w:t>
      </w:r>
      <w:r w:rsidRPr="00431AF5">
        <w:rPr>
          <w:sz w:val="28"/>
          <w:szCs w:val="28"/>
        </w:rPr>
        <w:t> </w:t>
      </w:r>
      <w:r w:rsidRPr="00431AF5">
        <w:rPr>
          <w:sz w:val="28"/>
          <w:szCs w:val="28"/>
          <w:lang w:val="uk-UA"/>
        </w:rPr>
        <w:t xml:space="preserve"> з</w:t>
      </w:r>
      <w:r w:rsidRPr="00431AF5">
        <w:rPr>
          <w:sz w:val="28"/>
          <w:szCs w:val="28"/>
        </w:rPr>
        <w:t>  </w:t>
      </w:r>
      <w:r w:rsidRPr="00431AF5">
        <w:rPr>
          <w:sz w:val="28"/>
          <w:szCs w:val="28"/>
          <w:lang w:val="uk-UA"/>
        </w:rPr>
        <w:t xml:space="preserve"> правової</w:t>
      </w:r>
      <w:r w:rsidRPr="00431AF5">
        <w:rPr>
          <w:sz w:val="28"/>
          <w:szCs w:val="28"/>
        </w:rPr>
        <w:t>  </w:t>
      </w:r>
      <w:r w:rsidRPr="00431AF5">
        <w:rPr>
          <w:sz w:val="28"/>
          <w:szCs w:val="28"/>
          <w:lang w:val="uk-UA"/>
        </w:rPr>
        <w:t xml:space="preserve"> освіти населення (далі - Рада) є постійно діючим консультативно-дорадчим органом при обласній державній адміністрації.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Pr="003E3CED">
        <w:rPr>
          <w:sz w:val="28"/>
          <w:szCs w:val="28"/>
          <w:lang w:val="uk-UA"/>
        </w:rPr>
        <w:t xml:space="preserve">. Основними завданнями </w:t>
      </w:r>
      <w:r>
        <w:rPr>
          <w:sz w:val="28"/>
          <w:szCs w:val="28"/>
          <w:lang w:val="uk-UA"/>
        </w:rPr>
        <w:t>Р</w:t>
      </w:r>
      <w:r w:rsidRPr="003E3CED">
        <w:rPr>
          <w:sz w:val="28"/>
          <w:szCs w:val="28"/>
          <w:lang w:val="uk-UA"/>
        </w:rPr>
        <w:t xml:space="preserve">ади є: 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544788">
        <w:rPr>
          <w:sz w:val="28"/>
          <w:szCs w:val="28"/>
          <w:lang w:val="uk-UA"/>
        </w:rPr>
        <w:t>координаці</w:t>
      </w:r>
      <w:r>
        <w:rPr>
          <w:sz w:val="28"/>
          <w:szCs w:val="28"/>
          <w:lang w:val="uk-UA"/>
        </w:rPr>
        <w:t>я</w:t>
      </w:r>
      <w:r w:rsidRPr="00544788">
        <w:rPr>
          <w:sz w:val="28"/>
          <w:szCs w:val="28"/>
          <w:lang w:val="uk-UA"/>
        </w:rPr>
        <w:t xml:space="preserve"> діяльності органів виконавчої влади, органів місцевого самоврядування, об'єднань громадян, навчальних та культурних закладів, наукових установ, видавництв та видавничих організацій, засобів масової інформації у сфері  правової  освіти  населення;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3E3CED">
        <w:rPr>
          <w:sz w:val="28"/>
          <w:szCs w:val="28"/>
          <w:lang w:val="uk-UA"/>
        </w:rPr>
        <w:t xml:space="preserve">надання методичної допомоги органам </w:t>
      </w:r>
      <w:r>
        <w:rPr>
          <w:sz w:val="28"/>
          <w:szCs w:val="28"/>
          <w:lang w:val="uk-UA"/>
        </w:rPr>
        <w:t xml:space="preserve"> </w:t>
      </w:r>
      <w:r w:rsidRPr="003E3CED">
        <w:rPr>
          <w:sz w:val="28"/>
          <w:szCs w:val="28"/>
          <w:lang w:val="uk-UA"/>
        </w:rPr>
        <w:t>виконавчої влади, органам місцевого самоврядування, об’єднанням громадян, навчальним та культурним закладам</w:t>
      </w:r>
      <w:r>
        <w:rPr>
          <w:sz w:val="28"/>
          <w:szCs w:val="28"/>
          <w:lang w:val="uk-UA"/>
        </w:rPr>
        <w:t xml:space="preserve"> </w:t>
      </w:r>
      <w:r w:rsidRPr="003E3CED">
        <w:rPr>
          <w:sz w:val="28"/>
          <w:szCs w:val="28"/>
          <w:lang w:val="uk-UA"/>
        </w:rPr>
        <w:t xml:space="preserve"> у проведенні роботи </w:t>
      </w:r>
      <w:r>
        <w:rPr>
          <w:sz w:val="28"/>
          <w:szCs w:val="28"/>
          <w:lang w:val="uk-UA"/>
        </w:rPr>
        <w:t>з</w:t>
      </w:r>
      <w:r w:rsidRPr="003E3CED">
        <w:rPr>
          <w:sz w:val="28"/>
          <w:szCs w:val="28"/>
          <w:lang w:val="uk-UA"/>
        </w:rPr>
        <w:t xml:space="preserve"> підвищенн</w:t>
      </w:r>
      <w:r>
        <w:rPr>
          <w:sz w:val="28"/>
          <w:szCs w:val="28"/>
          <w:lang w:val="uk-UA"/>
        </w:rPr>
        <w:t>я</w:t>
      </w:r>
      <w:r w:rsidRPr="003E3CED">
        <w:rPr>
          <w:sz w:val="28"/>
          <w:szCs w:val="28"/>
          <w:lang w:val="uk-UA"/>
        </w:rPr>
        <w:t xml:space="preserve"> правової свідомості і правової культури населення;</w:t>
      </w:r>
    </w:p>
    <w:p w:rsidR="00582D22" w:rsidRPr="00582D22" w:rsidRDefault="00582D22" w:rsidP="00582D22">
      <w:pPr>
        <w:ind w:firstLine="709"/>
        <w:jc w:val="both"/>
        <w:rPr>
          <w:b/>
          <w:bCs/>
          <w:sz w:val="28"/>
          <w:szCs w:val="28"/>
        </w:rPr>
      </w:pPr>
      <w:r w:rsidRPr="00544788">
        <w:rPr>
          <w:sz w:val="28"/>
          <w:szCs w:val="28"/>
          <w:lang w:val="uk-UA"/>
        </w:rPr>
        <w:t xml:space="preserve">розробка  пропозицій  (рекомендацій)    щодо    удосконалення правової навчально-виховної роботи; </w:t>
      </w:r>
      <w:r w:rsidRPr="00544788">
        <w:rPr>
          <w:b/>
          <w:bCs/>
          <w:sz w:val="28"/>
          <w:szCs w:val="28"/>
          <w:lang w:val="uk-UA"/>
        </w:rPr>
        <w:t xml:space="preserve"> 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3E3CED">
        <w:rPr>
          <w:sz w:val="28"/>
          <w:szCs w:val="28"/>
          <w:lang w:val="uk-UA"/>
        </w:rPr>
        <w:t>поширення досвіду з питань правової освіти населення.</w:t>
      </w:r>
    </w:p>
    <w:p w:rsidR="00582D22" w:rsidRPr="003E3CED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294B33">
        <w:rPr>
          <w:sz w:val="28"/>
          <w:szCs w:val="28"/>
          <w:lang w:val="uk-UA"/>
        </w:rPr>
        <w:t>. Рада відповідно до покладених на неї завдань</w:t>
      </w:r>
      <w:r>
        <w:rPr>
          <w:sz w:val="28"/>
          <w:szCs w:val="28"/>
          <w:lang w:val="uk-UA"/>
        </w:rPr>
        <w:t>:</w:t>
      </w:r>
    </w:p>
    <w:p w:rsidR="00582D22" w:rsidRPr="00294B33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94B33">
        <w:rPr>
          <w:sz w:val="28"/>
          <w:szCs w:val="28"/>
          <w:lang w:val="uk-UA"/>
        </w:rPr>
        <w:t xml:space="preserve">проводить ознайомлення зі станом роботи з питань організації та здійснення правової освіти в </w:t>
      </w:r>
      <w:r>
        <w:rPr>
          <w:sz w:val="28"/>
          <w:szCs w:val="28"/>
          <w:lang w:val="uk-UA"/>
        </w:rPr>
        <w:t xml:space="preserve"> структурних підрозділах облдержадміністрації,  </w:t>
      </w:r>
      <w:r w:rsidRPr="00294B33">
        <w:rPr>
          <w:sz w:val="28"/>
          <w:szCs w:val="28"/>
          <w:lang w:val="uk-UA"/>
        </w:rPr>
        <w:t xml:space="preserve"> місцевих органах виконавчої влади, на підприємствах, в установах, організаціях, навчальних закладах, державних засобах масової інформації;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94B33">
        <w:rPr>
          <w:sz w:val="28"/>
          <w:szCs w:val="28"/>
          <w:lang w:val="uk-UA"/>
        </w:rPr>
        <w:t xml:space="preserve">аналізує стан правової навчально-виховної роботи; </w:t>
      </w:r>
      <w:r>
        <w:rPr>
          <w:sz w:val="28"/>
          <w:szCs w:val="28"/>
          <w:lang w:val="uk-UA"/>
        </w:rPr>
        <w:t xml:space="preserve"> 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446742">
        <w:rPr>
          <w:sz w:val="28"/>
          <w:szCs w:val="28"/>
          <w:lang w:val="uk-UA"/>
        </w:rPr>
        <w:t>заслуховує  на  своїх  засіданнях  найбільш актуальні питання правової освіти (зокрема щодо підсумків вивчення, аналізу соціологічних досліджень, опитувань громадян, оглядів-конкурсів, стану підготовки викладачів правових дисциплін та видання підручників і посібників з правознавства), а також повідомлення членів ради та інших осіб про результати роботи з правового навчання і виховання;</w:t>
      </w:r>
      <w:r>
        <w:rPr>
          <w:sz w:val="28"/>
          <w:szCs w:val="28"/>
          <w:lang w:val="uk-UA"/>
        </w:rPr>
        <w:t xml:space="preserve"> </w:t>
      </w:r>
    </w:p>
    <w:p w:rsidR="00582D22" w:rsidRPr="002C6BC7" w:rsidRDefault="00582D22" w:rsidP="00582D2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2C6BC7">
        <w:rPr>
          <w:color w:val="000000"/>
          <w:sz w:val="28"/>
          <w:szCs w:val="28"/>
          <w:lang w:val="uk-UA"/>
        </w:rPr>
        <w:t>аналізує стан правової освіти населення та розглядає це питання на засіданнях колегій обласної,  районних державних адміністрацій, міських рад та вносить пропозиції щодо його покращення;</w:t>
      </w:r>
    </w:p>
    <w:p w:rsidR="00582D22" w:rsidRPr="002C6BC7" w:rsidRDefault="00582D22" w:rsidP="00582D2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lastRenderedPageBreak/>
        <w:t>заслуховує с</w:t>
      </w:r>
      <w:r w:rsidRPr="002C6BC7">
        <w:rPr>
          <w:color w:val="000000"/>
          <w:sz w:val="28"/>
          <w:szCs w:val="28"/>
          <w:lang w:val="uk-UA"/>
        </w:rPr>
        <w:t>тан висвітлення правової тематики в комунальних та приватних засобах масової інформації;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надає всебічну допомогу в організації роботи районним, міським координаційно-методичним радам, заслуховує звіти про виконану роботу, проводить семінари та інші навчально-методичні заходи з метою підвищення кваліфікації керівників та членів рад;</w:t>
      </w:r>
    </w:p>
    <w:p w:rsidR="00582D22" w:rsidRPr="002C6BC7" w:rsidRDefault="00582D22" w:rsidP="00582D22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 xml:space="preserve">розробляє та направляє рекомендації з питань проведення </w:t>
      </w:r>
      <w:proofErr w:type="spellStart"/>
      <w:r w:rsidRPr="002C6BC7">
        <w:rPr>
          <w:sz w:val="28"/>
          <w:szCs w:val="28"/>
          <w:lang w:val="uk-UA"/>
        </w:rPr>
        <w:t>правороз’яснювальної</w:t>
      </w:r>
      <w:proofErr w:type="spellEnd"/>
      <w:r w:rsidRPr="002C6BC7">
        <w:rPr>
          <w:sz w:val="28"/>
          <w:szCs w:val="28"/>
          <w:lang w:val="uk-UA"/>
        </w:rPr>
        <w:t xml:space="preserve"> роботи серед населення, формування в учнівської молоді правової культури, соціальної активності, розвитку творчих здібностей, правової свідомості, активної життєвої позиції.</w:t>
      </w:r>
      <w:r w:rsidRPr="002C6BC7">
        <w:rPr>
          <w:b/>
          <w:bCs/>
          <w:sz w:val="28"/>
          <w:szCs w:val="28"/>
          <w:lang w:val="uk-UA"/>
        </w:rPr>
        <w:t xml:space="preserve"> 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4. Рада складається</w:t>
      </w:r>
      <w:r>
        <w:rPr>
          <w:sz w:val="28"/>
          <w:szCs w:val="28"/>
          <w:lang w:val="uk-UA"/>
        </w:rPr>
        <w:t xml:space="preserve"> з голови, заступника голови, відповідального секретаря та членів Ради, які працюють на громадських засадах.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8B057E">
        <w:rPr>
          <w:sz w:val="28"/>
          <w:szCs w:val="28"/>
          <w:lang w:val="uk-UA"/>
        </w:rPr>
        <w:t xml:space="preserve">. Головою </w:t>
      </w:r>
      <w:r>
        <w:rPr>
          <w:sz w:val="28"/>
          <w:szCs w:val="28"/>
          <w:lang w:val="uk-UA"/>
        </w:rPr>
        <w:t>Ради</w:t>
      </w:r>
      <w:r w:rsidRPr="008B05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може бути </w:t>
      </w:r>
      <w:r w:rsidRPr="008B057E">
        <w:rPr>
          <w:sz w:val="28"/>
          <w:szCs w:val="28"/>
          <w:lang w:val="uk-UA"/>
        </w:rPr>
        <w:t xml:space="preserve"> представник місцевого органу виконавчої влади (голова або перший заступник голови обласної державної адміністрації) або органу місцевого самоврядування (голова або заступник голови відповідної ради). 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8B057E">
        <w:rPr>
          <w:sz w:val="28"/>
          <w:szCs w:val="28"/>
          <w:lang w:val="uk-UA"/>
        </w:rPr>
        <w:t>До складу Ради входять керівники управлінь, відділів та інших структурних підрозділів облдержадміністрації, навчальних закладів, установ та організацій.</w:t>
      </w:r>
    </w:p>
    <w:p w:rsidR="00582D22" w:rsidRPr="008B057E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8B057E">
        <w:rPr>
          <w:sz w:val="28"/>
          <w:szCs w:val="28"/>
          <w:lang w:val="uk-UA"/>
        </w:rPr>
        <w:t xml:space="preserve">. До співробітництва у складі Ради можуть запрошуватись працівники суду, відділень Спілки юристів України, громадських організацій, статутами яких передбачена </w:t>
      </w:r>
      <w:r>
        <w:rPr>
          <w:sz w:val="28"/>
          <w:szCs w:val="28"/>
          <w:lang w:val="uk-UA"/>
        </w:rPr>
        <w:t xml:space="preserve">їх </w:t>
      </w:r>
      <w:r w:rsidRPr="008B057E">
        <w:rPr>
          <w:sz w:val="28"/>
          <w:szCs w:val="28"/>
          <w:lang w:val="uk-UA"/>
        </w:rPr>
        <w:t>участь у правовій освіті населення.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Для участі в засіданнях можуть запрошуватися за їх згодою спеціалісти різних галузей знань, які не є членами Ради.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 xml:space="preserve">8. Керує роботою голова Ради, а в період його тимчасової відсутності </w:t>
      </w:r>
      <w:r w:rsidRPr="00582D22">
        <w:rPr>
          <w:sz w:val="28"/>
          <w:szCs w:val="28"/>
        </w:rPr>
        <w:t>–</w:t>
      </w:r>
      <w:r w:rsidRPr="002C6BC7">
        <w:rPr>
          <w:sz w:val="28"/>
          <w:szCs w:val="28"/>
          <w:lang w:val="uk-UA"/>
        </w:rPr>
        <w:t xml:space="preserve"> заступник голови Ради. Вони  з  урахуванням думки відповідального секретаря  та членів Ради визначають коло питань, які підлягають вивченню і розгляду на засіданнях, встановлюють строки підготовчої роботи і проведення засідань, дають доручення членам Ради і залученим до роботи особам.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8B057E">
        <w:rPr>
          <w:sz w:val="28"/>
          <w:szCs w:val="28"/>
          <w:lang w:val="uk-UA"/>
        </w:rPr>
        <w:t>Відповідальний секретар</w:t>
      </w:r>
      <w:r>
        <w:rPr>
          <w:sz w:val="28"/>
          <w:szCs w:val="28"/>
          <w:lang w:val="uk-UA"/>
        </w:rPr>
        <w:t>: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8B057E">
        <w:rPr>
          <w:sz w:val="28"/>
          <w:szCs w:val="28"/>
          <w:lang w:val="uk-UA"/>
        </w:rPr>
        <w:t xml:space="preserve">веде протокол засідання Ради, який підписується ним і головою </w:t>
      </w:r>
      <w:r w:rsidRPr="000C41E8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;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8B057E">
        <w:rPr>
          <w:sz w:val="28"/>
          <w:szCs w:val="28"/>
          <w:lang w:val="uk-UA"/>
        </w:rPr>
        <w:t>забезпечує організацію діяльності Ради</w:t>
      </w:r>
      <w:r>
        <w:rPr>
          <w:sz w:val="28"/>
          <w:szCs w:val="28"/>
          <w:lang w:val="uk-UA"/>
        </w:rPr>
        <w:t>;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</w:t>
      </w:r>
      <w:r w:rsidRPr="008B057E">
        <w:rPr>
          <w:sz w:val="28"/>
          <w:szCs w:val="28"/>
          <w:lang w:val="uk-UA"/>
        </w:rPr>
        <w:t>зробляє проекти планів її роботи, проекти рекомендацій та інших документів, необхідних для засідань і діяльності Ради, залучає до цієї роботи членів ради</w:t>
      </w:r>
      <w:r>
        <w:rPr>
          <w:sz w:val="28"/>
          <w:szCs w:val="28"/>
          <w:lang w:val="uk-UA"/>
        </w:rPr>
        <w:t>;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контролює хід реалізації прийнятих радою документів;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складає порядок денний та надсилає запрошення взяти участь у засіданні членам Ради та зацікавленим особам.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8B057E">
        <w:rPr>
          <w:sz w:val="28"/>
          <w:szCs w:val="28"/>
          <w:lang w:val="uk-UA"/>
        </w:rPr>
        <w:t xml:space="preserve"> </w:t>
      </w:r>
      <w:r w:rsidRPr="00F45678">
        <w:rPr>
          <w:sz w:val="28"/>
          <w:szCs w:val="28"/>
        </w:rPr>
        <w:t>Рад</w:t>
      </w:r>
      <w:r w:rsidRPr="00F45678">
        <w:rPr>
          <w:sz w:val="28"/>
          <w:szCs w:val="28"/>
          <w:lang w:val="uk-UA"/>
        </w:rPr>
        <w:t>а організовує свою роботу відповідно до річного плану.</w:t>
      </w:r>
      <w:r w:rsidRPr="00F45678">
        <w:rPr>
          <w:sz w:val="28"/>
          <w:szCs w:val="28"/>
        </w:rPr>
        <w:t xml:space="preserve"> </w:t>
      </w:r>
      <w:r w:rsidRPr="00F45678">
        <w:rPr>
          <w:sz w:val="28"/>
          <w:szCs w:val="28"/>
          <w:lang w:val="uk-UA"/>
        </w:rPr>
        <w:t xml:space="preserve">Члени Ради надсилають пропозиції до плану роботи, які узагальнюються відповідальним  </w:t>
      </w:r>
      <w:r w:rsidRPr="00F45678">
        <w:rPr>
          <w:sz w:val="28"/>
          <w:szCs w:val="28"/>
        </w:rPr>
        <w:t xml:space="preserve"> секретарем Ради </w:t>
      </w:r>
      <w:r w:rsidRPr="00F45678">
        <w:rPr>
          <w:sz w:val="28"/>
          <w:szCs w:val="28"/>
          <w:lang w:val="uk-UA"/>
        </w:rPr>
        <w:t xml:space="preserve"> і виносяться для розгляду та обговорення на підсумковому засіданні </w:t>
      </w:r>
      <w:r>
        <w:rPr>
          <w:sz w:val="28"/>
          <w:szCs w:val="28"/>
          <w:lang w:val="uk-UA"/>
        </w:rPr>
        <w:t>Ради</w:t>
      </w:r>
      <w:r w:rsidRPr="00F45678">
        <w:rPr>
          <w:sz w:val="28"/>
          <w:szCs w:val="28"/>
          <w:lang w:val="uk-UA"/>
        </w:rPr>
        <w:t>.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F45678">
        <w:rPr>
          <w:sz w:val="28"/>
          <w:szCs w:val="28"/>
          <w:lang w:val="uk-UA"/>
        </w:rPr>
        <w:t xml:space="preserve">Після обговорення, внесення відповідних змін та доповнень проект плану роботи в останній редакції подається на затвердження голові </w:t>
      </w:r>
      <w:r>
        <w:rPr>
          <w:sz w:val="28"/>
          <w:szCs w:val="28"/>
          <w:lang w:val="uk-UA"/>
        </w:rPr>
        <w:t xml:space="preserve"> Ради. </w:t>
      </w:r>
    </w:p>
    <w:p w:rsidR="00582D22" w:rsidRDefault="00582D22" w:rsidP="00582D22">
      <w:pPr>
        <w:ind w:firstLine="709"/>
        <w:jc w:val="center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8B057E">
        <w:rPr>
          <w:sz w:val="28"/>
          <w:szCs w:val="28"/>
          <w:lang w:val="uk-UA"/>
        </w:rPr>
        <w:t>Члени Ради надають пропозиції до планів роботи</w:t>
      </w:r>
      <w:r>
        <w:rPr>
          <w:sz w:val="28"/>
          <w:szCs w:val="28"/>
          <w:lang w:val="uk-UA"/>
        </w:rPr>
        <w:t xml:space="preserve"> та </w:t>
      </w:r>
      <w:r w:rsidRPr="008B057E">
        <w:rPr>
          <w:sz w:val="28"/>
          <w:szCs w:val="28"/>
          <w:lang w:val="uk-UA"/>
        </w:rPr>
        <w:t>інформацію, необхідну для розгляду питань, передбачених планами роботи Ради, що стосується компетенції органів, які вони представляють, звітують про хід виконання рекомендацій органами, які  вони представляють, беруть участь у підготовці рекомендацій Ради та</w:t>
      </w:r>
      <w:r>
        <w:rPr>
          <w:sz w:val="28"/>
          <w:szCs w:val="28"/>
          <w:lang w:val="uk-UA"/>
        </w:rPr>
        <w:t xml:space="preserve"> в </w:t>
      </w:r>
      <w:r w:rsidRPr="008B057E">
        <w:rPr>
          <w:sz w:val="28"/>
          <w:szCs w:val="28"/>
          <w:lang w:val="uk-UA"/>
        </w:rPr>
        <w:t xml:space="preserve"> їх обговоренні.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12. Формою роботи Ради є засідання, які проводяться щоквартально.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Засідання Ради вважаються правочинними, якщо на них присутні не менше половини її складу.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F45678">
        <w:rPr>
          <w:sz w:val="28"/>
          <w:szCs w:val="28"/>
          <w:lang w:val="uk-UA"/>
        </w:rPr>
        <w:t>Рішення Ради приймається простою більшістю голосів її членів. У разі рівної кількості голосів голос голови Ради є вирішальним.</w:t>
      </w:r>
    </w:p>
    <w:p w:rsidR="00582D22" w:rsidRPr="00F45678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45678">
        <w:rPr>
          <w:sz w:val="28"/>
          <w:szCs w:val="28"/>
          <w:lang w:val="uk-UA"/>
        </w:rPr>
        <w:t xml:space="preserve">ада приймає рішення у формі рекомендацій, які є обов’язковими для </w:t>
      </w:r>
      <w:r>
        <w:rPr>
          <w:sz w:val="28"/>
          <w:szCs w:val="28"/>
          <w:lang w:val="uk-UA"/>
        </w:rPr>
        <w:t>виконання</w:t>
      </w:r>
      <w:r w:rsidRPr="00F45678">
        <w:rPr>
          <w:sz w:val="28"/>
          <w:szCs w:val="28"/>
          <w:lang w:val="uk-UA"/>
        </w:rPr>
        <w:t>.</w:t>
      </w:r>
    </w:p>
    <w:p w:rsidR="00582D22" w:rsidRPr="002C6BC7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2C6BC7">
        <w:rPr>
          <w:sz w:val="28"/>
          <w:szCs w:val="28"/>
          <w:lang w:val="uk-UA"/>
        </w:rPr>
        <w:t>Рішення Ради підписуються її головою, а у разі його відсутності — заступником голови.</w:t>
      </w:r>
    </w:p>
    <w:p w:rsidR="00582D22" w:rsidRPr="008B057E" w:rsidRDefault="00582D22" w:rsidP="00582D22">
      <w:pPr>
        <w:ind w:firstLine="709"/>
        <w:jc w:val="both"/>
        <w:rPr>
          <w:sz w:val="28"/>
          <w:szCs w:val="28"/>
          <w:lang w:val="uk-UA"/>
        </w:rPr>
      </w:pPr>
      <w:r w:rsidRPr="00F45678">
        <w:rPr>
          <w:sz w:val="28"/>
          <w:szCs w:val="28"/>
          <w:lang w:val="uk-UA"/>
        </w:rPr>
        <w:t>У разі потреби  можуть проводитися виїзні засідання Ради.</w:t>
      </w:r>
    </w:p>
    <w:p w:rsidR="00582D22" w:rsidRPr="00B51D6F" w:rsidRDefault="00582D22" w:rsidP="00582D22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Матеріально-технічне та організаційне за</w:t>
      </w:r>
      <w:r w:rsidRPr="00B51D6F">
        <w:rPr>
          <w:sz w:val="28"/>
          <w:szCs w:val="28"/>
          <w:lang w:val="uk-UA"/>
        </w:rPr>
        <w:t>безпечення</w:t>
      </w:r>
      <w:r>
        <w:rPr>
          <w:sz w:val="28"/>
          <w:szCs w:val="28"/>
          <w:lang w:val="uk-UA"/>
        </w:rPr>
        <w:t xml:space="preserve"> роботи</w:t>
      </w:r>
      <w:r w:rsidRPr="00B51D6F">
        <w:rPr>
          <w:sz w:val="28"/>
          <w:szCs w:val="28"/>
          <w:lang w:val="uk-UA"/>
        </w:rPr>
        <w:t xml:space="preserve"> Ради здійснюється </w:t>
      </w:r>
      <w:r>
        <w:rPr>
          <w:sz w:val="28"/>
          <w:szCs w:val="28"/>
          <w:lang w:val="uk-UA"/>
        </w:rPr>
        <w:t xml:space="preserve"> Головним управлінням юстиції у Полтавській області.</w:t>
      </w:r>
    </w:p>
    <w:p w:rsidR="00582D22" w:rsidRPr="00B51D6F" w:rsidRDefault="00582D22" w:rsidP="00582D22">
      <w:pPr>
        <w:ind w:firstLine="709"/>
        <w:jc w:val="both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</w:t>
      </w:r>
      <w:r w:rsidRPr="00B51D6F">
        <w:rPr>
          <w:sz w:val="28"/>
          <w:szCs w:val="28"/>
          <w:lang w:val="uk-UA"/>
        </w:rPr>
        <w:t xml:space="preserve"> </w:t>
      </w:r>
      <w:r w:rsidRPr="000C41E8">
        <w:rPr>
          <w:sz w:val="28"/>
          <w:szCs w:val="28"/>
          <w:lang w:val="uk-UA"/>
        </w:rPr>
        <w:t xml:space="preserve">Рада здійснює свою діяльність гласно. </w:t>
      </w:r>
      <w:r>
        <w:rPr>
          <w:sz w:val="28"/>
          <w:szCs w:val="28"/>
          <w:lang w:val="uk-UA"/>
        </w:rPr>
        <w:t>Ї</w:t>
      </w:r>
      <w:r w:rsidRPr="000C41E8">
        <w:rPr>
          <w:sz w:val="28"/>
          <w:szCs w:val="28"/>
          <w:lang w:val="uk-UA"/>
        </w:rPr>
        <w:t xml:space="preserve">ї засідання і проведені заходи висвітлюються </w:t>
      </w:r>
      <w:r w:rsidRPr="008B057E">
        <w:rPr>
          <w:sz w:val="28"/>
          <w:szCs w:val="28"/>
          <w:lang w:val="uk-UA"/>
        </w:rPr>
        <w:t>у</w:t>
      </w:r>
      <w:r w:rsidRPr="000C41E8">
        <w:rPr>
          <w:sz w:val="28"/>
          <w:szCs w:val="28"/>
          <w:lang w:val="uk-UA"/>
        </w:rPr>
        <w:t xml:space="preserve"> пресі, по радіо і телебаченню.</w:t>
      </w:r>
      <w:r w:rsidRPr="008B057E">
        <w:rPr>
          <w:sz w:val="28"/>
          <w:szCs w:val="28"/>
        </w:rPr>
        <w:t> </w:t>
      </w:r>
    </w:p>
    <w:p w:rsidR="00582D22" w:rsidRDefault="00582D22" w:rsidP="00582D22">
      <w:pPr>
        <w:ind w:firstLine="709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rPr>
          <w:sz w:val="28"/>
          <w:szCs w:val="28"/>
          <w:lang w:val="uk-UA"/>
        </w:rPr>
      </w:pPr>
    </w:p>
    <w:p w:rsidR="00582D22" w:rsidRDefault="00582D22" w:rsidP="00582D22">
      <w:pPr>
        <w:ind w:firstLine="709"/>
        <w:rPr>
          <w:sz w:val="28"/>
          <w:szCs w:val="28"/>
          <w:lang w:val="uk-UA"/>
        </w:rPr>
      </w:pPr>
    </w:p>
    <w:p w:rsidR="00582D22" w:rsidRDefault="00582D22" w:rsidP="00582D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uk-UA"/>
        </w:rPr>
        <w:t>керівник</w:t>
      </w:r>
    </w:p>
    <w:p w:rsidR="00582D22" w:rsidRDefault="00582D22" w:rsidP="00582D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  облдержадміністрації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В.О.Пархоменко    </w:t>
      </w:r>
    </w:p>
    <w:p w:rsidR="00582D22" w:rsidRDefault="00582D22" w:rsidP="00582D22">
      <w:pPr>
        <w:rPr>
          <w:sz w:val="28"/>
          <w:szCs w:val="28"/>
          <w:lang w:val="uk-UA"/>
        </w:rPr>
      </w:pPr>
    </w:p>
    <w:sectPr w:rsidR="0058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D22"/>
    <w:rsid w:val="00176FA5"/>
    <w:rsid w:val="00582D22"/>
    <w:rsid w:val="00653798"/>
    <w:rsid w:val="00731B33"/>
    <w:rsid w:val="00F65B1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2398-B446-4334-956F-531B0741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D22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Style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basedOn w:val="Normal"/>
    <w:link w:val="DefaultParagraphFont"/>
    <w:rsid w:val="00582D2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                                                                                                                                                                                                                                               Роз</vt:lpstr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                                                                                                                                                                                                                                      Роз</dc:title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