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54142" w:rsidRPr="00DA598F" w:rsidRDefault="00A54142" w:rsidP="00A54142">
      <w:pPr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                                                                    </w:t>
      </w:r>
      <w:r w:rsidRPr="00DA598F">
        <w:rPr>
          <w:rFonts w:ascii="Times New Roman" w:hAnsi="Times New Roman"/>
          <w:sz w:val="28"/>
          <w:szCs w:val="28"/>
        </w:rPr>
        <w:t>ЗАТВЕРДЖЕНО</w:t>
      </w:r>
    </w:p>
    <w:p w:rsidR="00A54142" w:rsidRPr="00DA598F" w:rsidRDefault="00A54142" w:rsidP="00A54142">
      <w:pPr>
        <w:outlineLvl w:val="0"/>
        <w:rPr>
          <w:rFonts w:ascii="Times New Roman" w:hAnsi="Times New Roman"/>
          <w:sz w:val="28"/>
          <w:szCs w:val="28"/>
        </w:rPr>
      </w:pPr>
      <w:r w:rsidRPr="00DA598F">
        <w:rPr>
          <w:rFonts w:ascii="Times New Roman" w:hAnsi="Times New Roman"/>
          <w:sz w:val="28"/>
          <w:szCs w:val="28"/>
        </w:rPr>
        <w:t xml:space="preserve">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>Р</w:t>
      </w:r>
      <w:r w:rsidRPr="00DA598F">
        <w:rPr>
          <w:rFonts w:ascii="Times New Roman" w:hAnsi="Times New Roman"/>
          <w:sz w:val="28"/>
          <w:szCs w:val="28"/>
        </w:rPr>
        <w:t>озпоряд</w:t>
      </w:r>
      <w:r>
        <w:rPr>
          <w:rFonts w:ascii="Times New Roman" w:hAnsi="Times New Roman"/>
          <w:sz w:val="28"/>
          <w:szCs w:val="28"/>
        </w:rPr>
        <w:t>ження</w:t>
      </w:r>
      <w:r w:rsidRPr="00DA598F">
        <w:rPr>
          <w:rFonts w:ascii="Times New Roman" w:hAnsi="Times New Roman"/>
          <w:sz w:val="28"/>
          <w:szCs w:val="28"/>
        </w:rPr>
        <w:t xml:space="preserve"> голови</w:t>
      </w:r>
    </w:p>
    <w:p w:rsidR="00A54142" w:rsidRPr="00DA598F" w:rsidRDefault="00A54142" w:rsidP="00A54142">
      <w:pPr>
        <w:rPr>
          <w:rFonts w:ascii="Times New Roman" w:hAnsi="Times New Roman"/>
          <w:sz w:val="28"/>
          <w:szCs w:val="28"/>
        </w:rPr>
      </w:pPr>
      <w:r w:rsidRPr="00DA598F">
        <w:rPr>
          <w:rFonts w:ascii="Times New Roman" w:hAnsi="Times New Roman"/>
          <w:sz w:val="28"/>
          <w:szCs w:val="28"/>
        </w:rPr>
        <w:t xml:space="preserve">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</w:t>
      </w:r>
      <w:r w:rsidRPr="00DA598F">
        <w:rPr>
          <w:rFonts w:ascii="Times New Roman" w:hAnsi="Times New Roman"/>
          <w:sz w:val="28"/>
          <w:szCs w:val="28"/>
        </w:rPr>
        <w:t>обласної державної адміністрації</w:t>
      </w:r>
    </w:p>
    <w:p w:rsidR="00A54142" w:rsidRDefault="00A54142" w:rsidP="00A54142">
      <w:pPr>
        <w:rPr>
          <w:rFonts w:ascii="Times New Roman" w:hAnsi="Times New Roman"/>
          <w:sz w:val="28"/>
          <w:szCs w:val="28"/>
        </w:rPr>
      </w:pPr>
      <w:r w:rsidRPr="00DA598F">
        <w:rPr>
          <w:rFonts w:ascii="Times New Roman" w:hAnsi="Times New Roman"/>
          <w:sz w:val="28"/>
          <w:szCs w:val="28"/>
        </w:rPr>
        <w:t xml:space="preserve">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30.11.2011 </w:t>
      </w:r>
      <w:r w:rsidRPr="00DA598F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479</w:t>
      </w:r>
    </w:p>
    <w:p w:rsidR="00A54142" w:rsidRDefault="00A54142" w:rsidP="00A54142">
      <w:pPr>
        <w:rPr>
          <w:rFonts w:ascii="Times New Roman" w:hAnsi="Times New Roman"/>
          <w:sz w:val="28"/>
          <w:szCs w:val="28"/>
        </w:rPr>
      </w:pPr>
    </w:p>
    <w:p w:rsidR="00A54142" w:rsidRDefault="00A54142" w:rsidP="00A54142">
      <w:pPr>
        <w:rPr>
          <w:rFonts w:ascii="Times New Roman" w:hAnsi="Times New Roman"/>
          <w:sz w:val="28"/>
          <w:szCs w:val="28"/>
        </w:rPr>
      </w:pPr>
    </w:p>
    <w:p w:rsidR="00A54142" w:rsidRDefault="00A54142" w:rsidP="00A54142">
      <w:pPr>
        <w:rPr>
          <w:rFonts w:ascii="Times New Roman" w:hAnsi="Times New Roman"/>
          <w:sz w:val="28"/>
          <w:szCs w:val="28"/>
        </w:rPr>
      </w:pPr>
    </w:p>
    <w:p w:rsidR="00A54142" w:rsidRDefault="00A54142" w:rsidP="00A54142">
      <w:pPr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ПОЛОЖЕННЯ</w:t>
      </w:r>
    </w:p>
    <w:p w:rsidR="00A54142" w:rsidRDefault="00A54142" w:rsidP="00A54142">
      <w:pPr>
        <w:jc w:val="both"/>
        <w:rPr>
          <w:rFonts w:ascii="Times New Roman" w:hAnsi="Times New Roman"/>
          <w:sz w:val="28"/>
          <w:szCs w:val="28"/>
        </w:rPr>
      </w:pPr>
      <w:r w:rsidRPr="00BD4ABF">
        <w:rPr>
          <w:rFonts w:ascii="Times New Roman" w:hAnsi="Times New Roman"/>
          <w:sz w:val="28"/>
          <w:szCs w:val="28"/>
        </w:rPr>
        <w:t>про робочу групу при обласній державній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426519">
        <w:rPr>
          <w:rFonts w:ascii="Times New Roman" w:hAnsi="Times New Roman"/>
          <w:sz w:val="28"/>
          <w:szCs w:val="28"/>
        </w:rPr>
        <w:t xml:space="preserve">адміністрації з питань створення </w:t>
      </w:r>
      <w:r>
        <w:rPr>
          <w:rFonts w:ascii="Times New Roman" w:hAnsi="Times New Roman"/>
          <w:sz w:val="28"/>
          <w:szCs w:val="28"/>
        </w:rPr>
        <w:t xml:space="preserve">                </w:t>
      </w:r>
    </w:p>
    <w:p w:rsidR="00A54142" w:rsidRDefault="00A54142" w:rsidP="00A5414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</w:t>
      </w:r>
      <w:r w:rsidRPr="00426519">
        <w:rPr>
          <w:rFonts w:ascii="Times New Roman" w:hAnsi="Times New Roman"/>
          <w:sz w:val="28"/>
          <w:szCs w:val="28"/>
        </w:rPr>
        <w:t xml:space="preserve">обласного </w:t>
      </w:r>
      <w:proofErr w:type="spellStart"/>
      <w:r w:rsidRPr="00426519">
        <w:rPr>
          <w:rFonts w:ascii="Times New Roman" w:hAnsi="Times New Roman"/>
          <w:sz w:val="28"/>
          <w:szCs w:val="28"/>
        </w:rPr>
        <w:t>перинатального</w:t>
      </w:r>
      <w:proofErr w:type="spellEnd"/>
      <w:r w:rsidRPr="00426519">
        <w:rPr>
          <w:rFonts w:ascii="Times New Roman" w:hAnsi="Times New Roman"/>
          <w:sz w:val="28"/>
          <w:szCs w:val="28"/>
        </w:rPr>
        <w:t xml:space="preserve"> центру</w:t>
      </w:r>
    </w:p>
    <w:p w:rsidR="00A54142" w:rsidRDefault="00A54142" w:rsidP="00A54142">
      <w:pPr>
        <w:jc w:val="both"/>
        <w:rPr>
          <w:rFonts w:ascii="Times New Roman" w:hAnsi="Times New Roman"/>
          <w:sz w:val="28"/>
          <w:szCs w:val="28"/>
        </w:rPr>
      </w:pPr>
    </w:p>
    <w:p w:rsidR="00A54142" w:rsidRDefault="00A54142" w:rsidP="00A54142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sz w:val="28"/>
          <w:szCs w:val="28"/>
        </w:rPr>
      </w:pPr>
      <w:r w:rsidRPr="00BD4ABF">
        <w:rPr>
          <w:rFonts w:ascii="Times New Roman" w:hAnsi="Times New Roman"/>
          <w:b/>
          <w:sz w:val="28"/>
          <w:szCs w:val="28"/>
        </w:rPr>
        <w:t>Загальні положення</w:t>
      </w:r>
    </w:p>
    <w:p w:rsidR="00A54142" w:rsidRDefault="00A54142" w:rsidP="00A5414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1.1. Робоча група при обласній державній адміністрації з питань створення обласного </w:t>
      </w:r>
      <w:proofErr w:type="spellStart"/>
      <w:r>
        <w:rPr>
          <w:rFonts w:ascii="Times New Roman" w:hAnsi="Times New Roman"/>
          <w:sz w:val="28"/>
          <w:szCs w:val="28"/>
        </w:rPr>
        <w:t>перинатального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центру (далі – робоча група) є координаційним органом, утвореним на період реалізації в Полтавській області Національного проекту </w:t>
      </w:r>
      <w:r w:rsidRPr="003F70D0">
        <w:rPr>
          <w:rFonts w:ascii="Times New Roman" w:hAnsi="Times New Roman"/>
          <w:sz w:val="28"/>
          <w:szCs w:val="28"/>
        </w:rPr>
        <w:t>,,</w:t>
      </w:r>
      <w:r>
        <w:rPr>
          <w:rFonts w:ascii="Times New Roman" w:hAnsi="Times New Roman"/>
          <w:sz w:val="28"/>
          <w:szCs w:val="28"/>
        </w:rPr>
        <w:t>Нове життя</w:t>
      </w:r>
      <w:r w:rsidRPr="003F70D0">
        <w:rPr>
          <w:rFonts w:ascii="Times New Roman" w:hAnsi="Times New Roman"/>
          <w:sz w:val="28"/>
          <w:szCs w:val="28"/>
        </w:rPr>
        <w:t>”</w:t>
      </w:r>
      <w:r>
        <w:rPr>
          <w:rFonts w:ascii="Times New Roman" w:hAnsi="Times New Roman"/>
          <w:sz w:val="28"/>
          <w:szCs w:val="28"/>
        </w:rPr>
        <w:t xml:space="preserve"> - нова якість охорони материнства та дитинства</w:t>
      </w:r>
      <w:r w:rsidRPr="003F70D0">
        <w:rPr>
          <w:rFonts w:ascii="Times New Roman" w:hAnsi="Times New Roman"/>
          <w:sz w:val="28"/>
          <w:szCs w:val="28"/>
        </w:rPr>
        <w:t>”</w:t>
      </w:r>
      <w:r>
        <w:rPr>
          <w:rFonts w:ascii="Times New Roman" w:hAnsi="Times New Roman"/>
          <w:sz w:val="28"/>
          <w:szCs w:val="28"/>
        </w:rPr>
        <w:t>, а саме</w:t>
      </w:r>
      <w:r w:rsidRPr="003F70D0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створення обласного </w:t>
      </w:r>
      <w:proofErr w:type="spellStart"/>
      <w:r>
        <w:rPr>
          <w:rFonts w:ascii="Times New Roman" w:hAnsi="Times New Roman"/>
          <w:sz w:val="28"/>
          <w:szCs w:val="28"/>
        </w:rPr>
        <w:t>перинатального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центру.</w:t>
      </w:r>
    </w:p>
    <w:p w:rsidR="00A54142" w:rsidRDefault="00A54142" w:rsidP="00A5414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1.2. Робоча група створена з метою розробки практичних пропозицій щодо створення обласного </w:t>
      </w:r>
      <w:proofErr w:type="spellStart"/>
      <w:r>
        <w:rPr>
          <w:rFonts w:ascii="Times New Roman" w:hAnsi="Times New Roman"/>
          <w:sz w:val="28"/>
          <w:szCs w:val="28"/>
        </w:rPr>
        <w:t>перинатального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центру та його функціонування.</w:t>
      </w:r>
    </w:p>
    <w:p w:rsidR="00A54142" w:rsidRPr="00283DB8" w:rsidRDefault="00A54142" w:rsidP="00A5414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1.3. У своїй діяльності робоча група керується Конституцією України, законами України, актами Президента України, актами кабінету Міністрів України, нормативно-правовими документами Міністерства охорони здоров</w:t>
      </w:r>
      <w:r w:rsidRPr="009E45D4"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>я України, іншими актами законодавства України та цим Положенням.</w:t>
      </w:r>
    </w:p>
    <w:p w:rsidR="00A54142" w:rsidRPr="003F70D0" w:rsidRDefault="00A54142" w:rsidP="00A54142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</w:t>
      </w:r>
      <w:r w:rsidRPr="00283DB8">
        <w:rPr>
          <w:rFonts w:ascii="Times New Roman" w:hAnsi="Times New Roman"/>
          <w:b/>
          <w:sz w:val="28"/>
          <w:szCs w:val="28"/>
        </w:rPr>
        <w:t>2.</w:t>
      </w:r>
      <w:r>
        <w:rPr>
          <w:rFonts w:ascii="Times New Roman" w:hAnsi="Times New Roman"/>
          <w:b/>
          <w:sz w:val="28"/>
          <w:szCs w:val="28"/>
        </w:rPr>
        <w:t xml:space="preserve"> Основні завдання робочої групи</w:t>
      </w:r>
    </w:p>
    <w:p w:rsidR="00A54142" w:rsidRDefault="00A54142" w:rsidP="00A5414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2.1. Основними завданнями робочої групи є:</w:t>
      </w:r>
    </w:p>
    <w:p w:rsidR="00A54142" w:rsidRDefault="00A54142" w:rsidP="00A5414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вивчення, аналіз і узагальнення досвіду створення регіональних </w:t>
      </w:r>
      <w:proofErr w:type="spellStart"/>
      <w:r>
        <w:rPr>
          <w:rFonts w:ascii="Times New Roman" w:hAnsi="Times New Roman"/>
          <w:sz w:val="28"/>
          <w:szCs w:val="28"/>
        </w:rPr>
        <w:t>перинатальних</w:t>
      </w:r>
      <w:proofErr w:type="spellEnd"/>
      <w:r>
        <w:rPr>
          <w:rFonts w:ascii="Times New Roman" w:hAnsi="Times New Roman"/>
          <w:sz w:val="28"/>
          <w:szCs w:val="28"/>
        </w:rPr>
        <w:t xml:space="preserve"> центрів в Україні;</w:t>
      </w:r>
    </w:p>
    <w:p w:rsidR="00A54142" w:rsidRDefault="00A54142" w:rsidP="00A5414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 визначення напрямків діяльності зі створення обласного </w:t>
      </w:r>
      <w:proofErr w:type="spellStart"/>
      <w:r>
        <w:rPr>
          <w:rFonts w:ascii="Times New Roman" w:hAnsi="Times New Roman"/>
          <w:sz w:val="28"/>
          <w:szCs w:val="28"/>
        </w:rPr>
        <w:t>перинатального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центру;</w:t>
      </w:r>
    </w:p>
    <w:p w:rsidR="00A54142" w:rsidRDefault="00A54142" w:rsidP="00A5414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 проведення аудиту </w:t>
      </w:r>
      <w:proofErr w:type="spellStart"/>
      <w:r>
        <w:rPr>
          <w:rFonts w:ascii="Times New Roman" w:hAnsi="Times New Roman"/>
          <w:sz w:val="28"/>
          <w:szCs w:val="28"/>
        </w:rPr>
        <w:t>перинатальної</w:t>
      </w:r>
      <w:proofErr w:type="spellEnd"/>
      <w:r>
        <w:rPr>
          <w:rFonts w:ascii="Times New Roman" w:hAnsi="Times New Roman"/>
          <w:sz w:val="28"/>
          <w:szCs w:val="28"/>
        </w:rPr>
        <w:t xml:space="preserve"> допомоги в області, який включає аналіз штатного розкладу та резерву кадрів, базового лікувального закладу для створення обласного </w:t>
      </w:r>
      <w:proofErr w:type="spellStart"/>
      <w:r>
        <w:rPr>
          <w:rFonts w:ascii="Times New Roman" w:hAnsi="Times New Roman"/>
          <w:sz w:val="28"/>
          <w:szCs w:val="28"/>
        </w:rPr>
        <w:t>перинатального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центру, оцінка технічного стану будівлі, приміщень, інженерних мереж, де буде створений </w:t>
      </w:r>
      <w:proofErr w:type="spellStart"/>
      <w:r>
        <w:rPr>
          <w:rFonts w:ascii="Times New Roman" w:hAnsi="Times New Roman"/>
          <w:sz w:val="28"/>
          <w:szCs w:val="28"/>
        </w:rPr>
        <w:t>перинатальний</w:t>
      </w:r>
      <w:proofErr w:type="spellEnd"/>
      <w:r>
        <w:rPr>
          <w:rFonts w:ascii="Times New Roman" w:hAnsi="Times New Roman"/>
          <w:sz w:val="28"/>
          <w:szCs w:val="28"/>
        </w:rPr>
        <w:t xml:space="preserve"> центр, оцінка технічного стану номенклатури, існуючого медичного обладнання;</w:t>
      </w:r>
    </w:p>
    <w:p w:rsidR="00A54142" w:rsidRDefault="00A54142" w:rsidP="00A5414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розробка та затвердження в установленому порядку проекту створення обласного </w:t>
      </w:r>
      <w:proofErr w:type="spellStart"/>
      <w:r>
        <w:rPr>
          <w:rFonts w:ascii="Times New Roman" w:hAnsi="Times New Roman"/>
          <w:sz w:val="28"/>
          <w:szCs w:val="28"/>
        </w:rPr>
        <w:t>перинатального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центру, який включає реконструкцію та капітальний ремонт приміщень </w:t>
      </w:r>
      <w:proofErr w:type="spellStart"/>
      <w:r>
        <w:rPr>
          <w:rFonts w:ascii="Times New Roman" w:hAnsi="Times New Roman"/>
          <w:sz w:val="28"/>
          <w:szCs w:val="28"/>
        </w:rPr>
        <w:t>перинатального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центру, впровадження сучасних інженерних технологій для забезпечення функціонування обласного </w:t>
      </w:r>
      <w:proofErr w:type="spellStart"/>
      <w:r>
        <w:rPr>
          <w:rFonts w:ascii="Times New Roman" w:hAnsi="Times New Roman"/>
          <w:sz w:val="28"/>
          <w:szCs w:val="28"/>
        </w:rPr>
        <w:t>перинатального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центру, впровадження медичних технологій із </w:t>
      </w:r>
      <w:proofErr w:type="spellStart"/>
      <w:r>
        <w:rPr>
          <w:rFonts w:ascii="Times New Roman" w:hAnsi="Times New Roman"/>
          <w:sz w:val="28"/>
          <w:szCs w:val="28"/>
        </w:rPr>
        <w:t>дооснащення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необхідним високотехнологічним медичним обладнанням;</w:t>
      </w:r>
    </w:p>
    <w:p w:rsidR="00A54142" w:rsidRDefault="00A54142" w:rsidP="00A5414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координація та моніторинг за виконанням заходів зі створення обласного </w:t>
      </w:r>
      <w:proofErr w:type="spellStart"/>
      <w:r>
        <w:rPr>
          <w:rFonts w:ascii="Times New Roman" w:hAnsi="Times New Roman"/>
          <w:sz w:val="28"/>
          <w:szCs w:val="28"/>
        </w:rPr>
        <w:t>перинатального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центру;</w:t>
      </w:r>
    </w:p>
    <w:p w:rsidR="00A54142" w:rsidRDefault="00A54142" w:rsidP="00A54142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</w:t>
      </w:r>
    </w:p>
    <w:p w:rsidR="00A54142" w:rsidRDefault="00A54142" w:rsidP="00A5414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координація діяльності установ, відомств, органів виконавчої влади, що визначені виконавцями проекту створення обласного </w:t>
      </w:r>
      <w:proofErr w:type="spellStart"/>
      <w:r>
        <w:rPr>
          <w:rFonts w:ascii="Times New Roman" w:hAnsi="Times New Roman"/>
          <w:sz w:val="28"/>
          <w:szCs w:val="28"/>
        </w:rPr>
        <w:t>перинатального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центру;</w:t>
      </w:r>
    </w:p>
    <w:p w:rsidR="00A54142" w:rsidRDefault="00A54142" w:rsidP="00A5414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затвердження графіку здачі в експлуатацію обласного </w:t>
      </w:r>
      <w:proofErr w:type="spellStart"/>
      <w:r>
        <w:rPr>
          <w:rFonts w:ascii="Times New Roman" w:hAnsi="Times New Roman"/>
          <w:sz w:val="28"/>
          <w:szCs w:val="28"/>
        </w:rPr>
        <w:t>перинатального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центру, джерел фінансування, конкретних напрямів та обсягів витрат щодо створення обласного </w:t>
      </w:r>
      <w:proofErr w:type="spellStart"/>
      <w:r>
        <w:rPr>
          <w:rFonts w:ascii="Times New Roman" w:hAnsi="Times New Roman"/>
          <w:sz w:val="28"/>
          <w:szCs w:val="28"/>
        </w:rPr>
        <w:t>перинаталного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центру;</w:t>
      </w:r>
    </w:p>
    <w:p w:rsidR="00A54142" w:rsidRDefault="00A54142" w:rsidP="00A5414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 здійснення інших функцій, необхідних для виконання покладених на робочу групу завдань.</w:t>
      </w:r>
    </w:p>
    <w:p w:rsidR="00A54142" w:rsidRDefault="00A54142" w:rsidP="00A54142">
      <w:pPr>
        <w:jc w:val="both"/>
        <w:rPr>
          <w:rFonts w:ascii="Times New Roman" w:hAnsi="Times New Roman"/>
          <w:sz w:val="28"/>
          <w:szCs w:val="28"/>
        </w:rPr>
      </w:pPr>
    </w:p>
    <w:p w:rsidR="00A54142" w:rsidRDefault="00A54142" w:rsidP="00A54142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b/>
          <w:sz w:val="28"/>
          <w:szCs w:val="28"/>
        </w:rPr>
      </w:pPr>
      <w:r w:rsidRPr="00094EDC">
        <w:rPr>
          <w:rFonts w:ascii="Times New Roman" w:hAnsi="Times New Roman"/>
          <w:b/>
          <w:sz w:val="28"/>
          <w:szCs w:val="28"/>
        </w:rPr>
        <w:t>Права робочої групи</w:t>
      </w:r>
    </w:p>
    <w:p w:rsidR="00A54142" w:rsidRDefault="00A54142" w:rsidP="00A5414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094EDC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 xml:space="preserve">1. </w:t>
      </w:r>
      <w:r w:rsidRPr="00094EDC">
        <w:rPr>
          <w:rFonts w:ascii="Times New Roman" w:hAnsi="Times New Roman"/>
          <w:sz w:val="28"/>
          <w:szCs w:val="28"/>
        </w:rPr>
        <w:t>Робоча група відповідно до покладених на неї завдань має наступні права:</w:t>
      </w:r>
    </w:p>
    <w:p w:rsidR="00A54142" w:rsidRPr="00094EDC" w:rsidRDefault="00A54142" w:rsidP="00A5414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утворювати тимчасові експертні та робочі групи, завданням яких є здійснення фахового аналізу проекту створення обласного </w:t>
      </w:r>
      <w:proofErr w:type="spellStart"/>
      <w:r>
        <w:rPr>
          <w:rFonts w:ascii="Times New Roman" w:hAnsi="Times New Roman"/>
          <w:sz w:val="28"/>
          <w:szCs w:val="28"/>
        </w:rPr>
        <w:t>перинатального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центру у частині фахового спрямування;</w:t>
      </w:r>
    </w:p>
    <w:p w:rsidR="00A54142" w:rsidRDefault="00A54142" w:rsidP="00A5414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залучати до розгляду питань, пов’язаних зі створенням обласного </w:t>
      </w:r>
      <w:proofErr w:type="spellStart"/>
      <w:r>
        <w:rPr>
          <w:rFonts w:ascii="Times New Roman" w:hAnsi="Times New Roman"/>
          <w:sz w:val="28"/>
          <w:szCs w:val="28"/>
        </w:rPr>
        <w:t>перинатального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центру спеціалістів органів виконавчої влади, представників органів місцевого самоврядування, підприємств, установ та організацій (за погодженням), а також незалежних експертів;</w:t>
      </w:r>
    </w:p>
    <w:p w:rsidR="00A54142" w:rsidRDefault="00A54142" w:rsidP="00A5414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одержувати в установленому законодавством порядку від органів виконавчої влади, органів самоврядування, підприємств, установ та організацій усіх форм власності інформацію та документи, необхідні для виконання покладених на неї завдань;</w:t>
      </w:r>
    </w:p>
    <w:p w:rsidR="00A54142" w:rsidRDefault="00A54142" w:rsidP="00A5414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заслуховувати інформацію відповідальних виконавців про стан створення обласного </w:t>
      </w:r>
      <w:proofErr w:type="spellStart"/>
      <w:r>
        <w:rPr>
          <w:rFonts w:ascii="Times New Roman" w:hAnsi="Times New Roman"/>
          <w:sz w:val="28"/>
          <w:szCs w:val="28"/>
        </w:rPr>
        <w:t>перинатального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центру;</w:t>
      </w:r>
    </w:p>
    <w:p w:rsidR="00A54142" w:rsidRDefault="00A54142" w:rsidP="00A5414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співпрацювати з органами державної влади, місцевого самоврядування та іншими зацікавленими органами і організаціями незалежно від форм власності з питань, пов’язаних з основними завданнями робочої групи.</w:t>
      </w:r>
    </w:p>
    <w:p w:rsidR="00A54142" w:rsidRDefault="00A54142" w:rsidP="00A5414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</w:t>
      </w:r>
    </w:p>
    <w:p w:rsidR="00A54142" w:rsidRDefault="00A54142" w:rsidP="00A54142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</w:t>
      </w:r>
      <w:r w:rsidRPr="00DA4289">
        <w:rPr>
          <w:rFonts w:ascii="Times New Roman" w:hAnsi="Times New Roman"/>
          <w:b/>
          <w:sz w:val="28"/>
          <w:szCs w:val="28"/>
        </w:rPr>
        <w:t>4. Склад робочої групи</w:t>
      </w:r>
    </w:p>
    <w:p w:rsidR="00A54142" w:rsidRDefault="00A54142" w:rsidP="00A5414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4.1. Робоча група складається з керівника, його заступника, відповідального секретаря та членів робочої групи.</w:t>
      </w:r>
    </w:p>
    <w:p w:rsidR="00A54142" w:rsidRDefault="00A54142" w:rsidP="00A5414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4.2. Персональний склад робочої групи формується з представників Головного управління охорони здоров</w:t>
      </w:r>
      <w:r w:rsidRPr="00DB1E4E"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 xml:space="preserve">я облдержадміністрації, Головного фінансового управління облдержадміністрації, управління капітального будівництва облдержадміністрації, Головного управління інформаційної та внутрішньої політики облдержадміністрації, державного закладу </w:t>
      </w:r>
      <w:r w:rsidRPr="0004703F">
        <w:rPr>
          <w:rFonts w:ascii="Times New Roman" w:hAnsi="Times New Roman"/>
          <w:sz w:val="28"/>
          <w:szCs w:val="28"/>
        </w:rPr>
        <w:t>,,</w:t>
      </w:r>
      <w:r>
        <w:rPr>
          <w:rFonts w:ascii="Times New Roman" w:hAnsi="Times New Roman"/>
          <w:sz w:val="28"/>
          <w:szCs w:val="28"/>
        </w:rPr>
        <w:t>Обласна санітарно-епідеміологічної станція</w:t>
      </w:r>
      <w:r w:rsidRPr="0004703F">
        <w:rPr>
          <w:rFonts w:ascii="Times New Roman" w:hAnsi="Times New Roman"/>
          <w:sz w:val="28"/>
          <w:szCs w:val="28"/>
        </w:rPr>
        <w:t>”</w:t>
      </w:r>
      <w:r>
        <w:rPr>
          <w:rFonts w:ascii="Times New Roman" w:hAnsi="Times New Roman"/>
          <w:sz w:val="28"/>
          <w:szCs w:val="28"/>
        </w:rPr>
        <w:t>, В</w:t>
      </w:r>
      <w:r w:rsidRPr="00DB1E4E">
        <w:rPr>
          <w:rFonts w:ascii="Times New Roman" w:hAnsi="Times New Roman"/>
          <w:sz w:val="28"/>
          <w:szCs w:val="28"/>
        </w:rPr>
        <w:t>ищого державно</w:t>
      </w:r>
      <w:r>
        <w:rPr>
          <w:rFonts w:ascii="Times New Roman" w:hAnsi="Times New Roman"/>
          <w:sz w:val="28"/>
          <w:szCs w:val="28"/>
        </w:rPr>
        <w:t xml:space="preserve">го навчального закладу України </w:t>
      </w:r>
      <w:r w:rsidRPr="0004703F">
        <w:rPr>
          <w:rFonts w:ascii="Times New Roman" w:hAnsi="Times New Roman"/>
          <w:sz w:val="28"/>
          <w:szCs w:val="28"/>
        </w:rPr>
        <w:t>..</w:t>
      </w:r>
      <w:r w:rsidRPr="00DB1E4E">
        <w:rPr>
          <w:rFonts w:ascii="Times New Roman" w:hAnsi="Times New Roman"/>
          <w:sz w:val="28"/>
          <w:szCs w:val="28"/>
        </w:rPr>
        <w:t xml:space="preserve">Українська </w:t>
      </w:r>
      <w:r>
        <w:rPr>
          <w:rFonts w:ascii="Times New Roman" w:hAnsi="Times New Roman"/>
          <w:sz w:val="28"/>
          <w:szCs w:val="28"/>
        </w:rPr>
        <w:t>медична стоматологічна академія</w:t>
      </w:r>
      <w:r w:rsidRPr="0004703F">
        <w:rPr>
          <w:rFonts w:ascii="Times New Roman" w:hAnsi="Times New Roman"/>
          <w:sz w:val="28"/>
          <w:szCs w:val="28"/>
        </w:rPr>
        <w:t>”</w:t>
      </w:r>
      <w:r>
        <w:rPr>
          <w:rFonts w:ascii="Times New Roman" w:hAnsi="Times New Roman"/>
          <w:sz w:val="28"/>
          <w:szCs w:val="28"/>
        </w:rPr>
        <w:t>.</w:t>
      </w:r>
    </w:p>
    <w:p w:rsidR="00A54142" w:rsidRDefault="00A54142" w:rsidP="00A5414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4.3.   Керівником робочої групи є голова облдержадміністрації.</w:t>
      </w:r>
    </w:p>
    <w:p w:rsidR="00A54142" w:rsidRDefault="00A54142" w:rsidP="00A5414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4.4. Заступником керівника робочої групи є заступник голови облдержадміністрації.</w:t>
      </w:r>
    </w:p>
    <w:p w:rsidR="00A54142" w:rsidRDefault="00A54142" w:rsidP="00A5414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4.5.   Відповідальний секретар робочої групи обирається з її членів.</w:t>
      </w:r>
    </w:p>
    <w:p w:rsidR="00A54142" w:rsidRDefault="00A54142" w:rsidP="00A5414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</w:t>
      </w:r>
    </w:p>
    <w:p w:rsidR="00A54142" w:rsidRDefault="00A54142" w:rsidP="00A54142">
      <w:pPr>
        <w:jc w:val="both"/>
        <w:rPr>
          <w:rFonts w:ascii="Times New Roman" w:hAnsi="Times New Roman"/>
          <w:sz w:val="28"/>
          <w:szCs w:val="28"/>
        </w:rPr>
      </w:pPr>
    </w:p>
    <w:p w:rsidR="00A54142" w:rsidRDefault="00A54142" w:rsidP="00A54142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</w:p>
    <w:p w:rsidR="00A54142" w:rsidRDefault="00A54142" w:rsidP="00A54142">
      <w:pPr>
        <w:jc w:val="both"/>
        <w:rPr>
          <w:rFonts w:ascii="Times New Roman" w:hAnsi="Times New Roman"/>
          <w:sz w:val="28"/>
          <w:szCs w:val="28"/>
        </w:rPr>
      </w:pPr>
    </w:p>
    <w:p w:rsidR="00A54142" w:rsidRDefault="00A54142" w:rsidP="00A54142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</w:t>
      </w:r>
      <w:r w:rsidRPr="00BB3871">
        <w:rPr>
          <w:rFonts w:ascii="Times New Roman" w:hAnsi="Times New Roman"/>
          <w:b/>
          <w:sz w:val="28"/>
          <w:szCs w:val="28"/>
        </w:rPr>
        <w:t>5. Порядок роботи робочої групи</w:t>
      </w:r>
    </w:p>
    <w:p w:rsidR="00A54142" w:rsidRDefault="00A54142" w:rsidP="00A5414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5.1. Формою роботи  робочої групи є засідання, які проводяться не рідше, ніж один раз на місяць. Керівник має право скликати в разі потреби позачергові засідання.</w:t>
      </w:r>
    </w:p>
    <w:p w:rsidR="00A54142" w:rsidRDefault="00A54142" w:rsidP="00A5414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5.2. Рішення про проведення засідання приймає керівник робочої групи.</w:t>
      </w:r>
    </w:p>
    <w:p w:rsidR="00A54142" w:rsidRDefault="00A54142" w:rsidP="00A5414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5.3. Засідання робочої групи є правомочним у разі присутності більше половини її складу.</w:t>
      </w:r>
    </w:p>
    <w:p w:rsidR="00A54142" w:rsidRDefault="00A54142" w:rsidP="00A5414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5.4. Прийняті на засіданні робочої групи рішення оформлюються протоколом, який підписується керівником робочої групи та відповідальним секретарем робочої групи.</w:t>
      </w:r>
    </w:p>
    <w:p w:rsidR="00A54142" w:rsidRDefault="00A54142" w:rsidP="00A5414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5.5. Відповідальний секретар робочої групи організує проведення засідань робочої групи, формує порядок денний, готує матеріали до засідання робочої групи, веде протокол засідання, готує проекти рішень та забезпечує їх розповсюдження.</w:t>
      </w:r>
    </w:p>
    <w:p w:rsidR="00A54142" w:rsidRDefault="00A54142" w:rsidP="00A5414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5.6. Рішення робочої групи вважаються прийнятими, якщо за них проголосувала більшість складу робочої групи. У разі рівної кількості голосів  голос керівника робочої групи є вирішальним. </w:t>
      </w:r>
    </w:p>
    <w:p w:rsidR="00A54142" w:rsidRDefault="00A54142" w:rsidP="00A5414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5.7. У засіданні робочої групи, крім її членів, можуть бути присутні запрошені особи, зокрема представники підприємств, установ та організацій, представники виконавчої влади та місцевого самоврядування, інші фахівці, консультанти та спеціалісти.</w:t>
      </w:r>
    </w:p>
    <w:p w:rsidR="00A54142" w:rsidRDefault="00A54142" w:rsidP="00A5414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5.8. Про дату, час і місце засідання робочої групи, порядок денний члени робочої групи сповіщаються персонально не пізніш, ніж за 3 дні до засідання відповідальним секретарем робочої групи.</w:t>
      </w:r>
    </w:p>
    <w:p w:rsidR="00A54142" w:rsidRDefault="00A54142" w:rsidP="00A54142">
      <w:pPr>
        <w:jc w:val="both"/>
        <w:rPr>
          <w:rFonts w:ascii="Times New Roman" w:hAnsi="Times New Roman"/>
          <w:sz w:val="28"/>
          <w:szCs w:val="28"/>
        </w:rPr>
      </w:pPr>
    </w:p>
    <w:p w:rsidR="00A54142" w:rsidRDefault="00A54142" w:rsidP="00A54142">
      <w:pPr>
        <w:jc w:val="both"/>
        <w:rPr>
          <w:rFonts w:ascii="Times New Roman" w:hAnsi="Times New Roman"/>
          <w:sz w:val="28"/>
          <w:szCs w:val="28"/>
        </w:rPr>
      </w:pPr>
    </w:p>
    <w:p w:rsidR="00A54142" w:rsidRDefault="00A54142" w:rsidP="00A54142">
      <w:pPr>
        <w:jc w:val="both"/>
        <w:rPr>
          <w:rFonts w:ascii="Times New Roman" w:hAnsi="Times New Roman"/>
          <w:sz w:val="28"/>
          <w:szCs w:val="28"/>
        </w:rPr>
      </w:pPr>
    </w:p>
    <w:p w:rsidR="00A54142" w:rsidRDefault="00A54142" w:rsidP="00A54142">
      <w:pPr>
        <w:jc w:val="both"/>
        <w:rPr>
          <w:rFonts w:ascii="Times New Roman" w:hAnsi="Times New Roman"/>
          <w:sz w:val="28"/>
          <w:szCs w:val="28"/>
        </w:rPr>
      </w:pPr>
    </w:p>
    <w:p w:rsidR="00A54142" w:rsidRDefault="00A54142" w:rsidP="00A54142">
      <w:pPr>
        <w:jc w:val="both"/>
        <w:rPr>
          <w:rFonts w:ascii="Times New Roman" w:hAnsi="Times New Roman"/>
          <w:sz w:val="28"/>
          <w:szCs w:val="28"/>
        </w:rPr>
      </w:pPr>
    </w:p>
    <w:p w:rsidR="00A54142" w:rsidRDefault="00A54142" w:rsidP="00A54142">
      <w:pPr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Заступник голови – керівник </w:t>
      </w:r>
    </w:p>
    <w:p w:rsidR="00A54142" w:rsidRPr="00BD43CF" w:rsidRDefault="00A54142" w:rsidP="00A5414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апарату облдержадміністрації                                                    В.О. Пархоменко  </w:t>
      </w:r>
    </w:p>
    <w:p w:rsidR="00731B33" w:rsidRDefault="00731B33"/>
    <w:sectPr w:rsidR="00731B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494A9D"/>
    <w:multiLevelType w:val="hybridMultilevel"/>
    <w:tmpl w:val="7EC4A1B2"/>
    <w:lvl w:ilvl="0" w:tplc="FE689F1C">
      <w:start w:val="1"/>
      <w:numFmt w:val="decimal"/>
      <w:lvlText w:val="%1."/>
      <w:lvlJc w:val="left"/>
      <w:pPr>
        <w:ind w:left="231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303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75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447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519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91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663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735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8070" w:hanging="180"/>
      </w:pPr>
      <w:rPr>
        <w:rFonts w:cs="Times New Roman"/>
      </w:rPr>
    </w:lvl>
  </w:abstractNum>
  <w:abstractNum w:abstractNumId="1" w15:restartNumberingAfterBreak="0">
    <w:nsid w:val="3B317A17"/>
    <w:multiLevelType w:val="multilevel"/>
    <w:tmpl w:val="AE3A5F56"/>
    <w:lvl w:ilvl="0">
      <w:start w:val="3"/>
      <w:numFmt w:val="decimal"/>
      <w:lvlText w:val="%1."/>
      <w:lvlJc w:val="left"/>
      <w:pPr>
        <w:ind w:left="231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67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67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03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03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39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75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75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110" w:hanging="2160"/>
      </w:pPr>
      <w:rPr>
        <w:rFonts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54142"/>
    <w:rsid w:val="001121AE"/>
    <w:rsid w:val="00176FA5"/>
    <w:rsid w:val="00405CE3"/>
    <w:rsid w:val="00653798"/>
    <w:rsid w:val="00731B33"/>
    <w:rsid w:val="00A54142"/>
    <w:rsid w:val="00FA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EDF912-7BED-4925-9A25-11E33ABD9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54142"/>
    <w:pPr>
      <w:widowControl w:val="0"/>
    </w:pPr>
    <w:rPr>
      <w:rFonts w:ascii="CG Times (W1)" w:eastAsia="Calibri" w:hAnsi="CG Times (W1)" w:cs="CG Times (W1)"/>
      <w:lang w:val="uk-UA" w:eastAsia="ru-RU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Paragraph">
    <w:name w:val="List Paragraph"/>
    <w:basedOn w:val="Normal"/>
    <w:qFormat/>
    <w:rsid w:val="00A54142"/>
    <w:pPr>
      <w:ind w:left="720"/>
    </w:pPr>
  </w:style>
  <w:style w:type="paragraph" w:customStyle="1" w:styleId="a">
    <w:name w:val="Знак Знак Знак"/>
    <w:basedOn w:val="Normal"/>
    <w:link w:val="DefaultParagraphFont"/>
    <w:rsid w:val="00A54142"/>
    <w:pPr>
      <w:widowControl/>
    </w:pPr>
    <w:rPr>
      <w:rFonts w:ascii="Verdana" w:eastAsia="Times New Roman" w:hAnsi="Verdana" w:cs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980</Words>
  <Characters>5587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ЗАТВЕРДЖЕНО</vt:lpstr>
    </vt:vector>
  </TitlesOfParts>
  <Company/>
  <LinksUpToDate>false</LinksUpToDate>
  <CharactersWithSpaces>6554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ЗАТВЕРДЖЕНО</dc:title>
  <dc:subject/>
  <dc:creator>vera</dc:creator>
  <cp:keywords/>
  <dc:description/>
  <cp:lastModifiedBy>Mykhailo Tolstikhin</cp:lastModifiedBy>
  <cp:revision>2</cp:revision>
  <dcterms:created xsi:type="dcterms:W3CDTF">2023-06-08T13:14:00Z</dcterms:created>
  <dcterms:modified xsi:type="dcterms:W3CDTF">2023-06-08T13:14:00Z</dcterms:modified>
</cp:coreProperties>
</file>