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2A2" w:rsidRDefault="00C622A2" w:rsidP="00C622A2">
      <w:pPr>
        <w:tabs>
          <w:tab w:val="left" w:pos="748"/>
          <w:tab w:val="left" w:pos="4488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C622A2" w:rsidRDefault="00C622A2" w:rsidP="00C622A2">
      <w:pPr>
        <w:tabs>
          <w:tab w:val="left" w:pos="748"/>
          <w:tab w:val="left" w:pos="4488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</w:t>
      </w:r>
    </w:p>
    <w:p w:rsidR="00C622A2" w:rsidRDefault="00C622A2" w:rsidP="00C622A2">
      <w:pPr>
        <w:tabs>
          <w:tab w:val="left" w:pos="748"/>
          <w:tab w:val="left" w:pos="4488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</w:p>
    <w:p w:rsidR="00C622A2" w:rsidRDefault="00C622A2" w:rsidP="00C622A2">
      <w:pPr>
        <w:tabs>
          <w:tab w:val="left" w:pos="748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21.03.2011 №120 </w:t>
      </w:r>
    </w:p>
    <w:p w:rsidR="00C622A2" w:rsidRDefault="00C622A2" w:rsidP="00C622A2">
      <w:pPr>
        <w:tabs>
          <w:tab w:val="left" w:pos="748"/>
        </w:tabs>
        <w:rPr>
          <w:sz w:val="28"/>
          <w:szCs w:val="28"/>
        </w:rPr>
      </w:pPr>
    </w:p>
    <w:p w:rsidR="00C622A2" w:rsidRDefault="00C622A2" w:rsidP="00C622A2">
      <w:pPr>
        <w:tabs>
          <w:tab w:val="left" w:pos="748"/>
        </w:tabs>
        <w:rPr>
          <w:sz w:val="28"/>
          <w:szCs w:val="28"/>
        </w:rPr>
      </w:pPr>
    </w:p>
    <w:p w:rsidR="00C622A2" w:rsidRPr="003B7B76" w:rsidRDefault="00C622A2" w:rsidP="00C622A2">
      <w:pPr>
        <w:tabs>
          <w:tab w:val="left" w:pos="748"/>
        </w:tabs>
        <w:jc w:val="center"/>
        <w:rPr>
          <w:sz w:val="28"/>
          <w:szCs w:val="28"/>
        </w:rPr>
      </w:pPr>
      <w:r w:rsidRPr="003B7B76">
        <w:rPr>
          <w:sz w:val="28"/>
          <w:szCs w:val="28"/>
        </w:rPr>
        <w:t>Регіональні показники розвитку</w:t>
      </w:r>
    </w:p>
    <w:p w:rsidR="00C622A2" w:rsidRPr="003B7B76" w:rsidRDefault="00C622A2" w:rsidP="00C622A2">
      <w:pPr>
        <w:tabs>
          <w:tab w:val="left" w:pos="748"/>
        </w:tabs>
        <w:jc w:val="center"/>
        <w:rPr>
          <w:sz w:val="28"/>
          <w:szCs w:val="28"/>
        </w:rPr>
      </w:pPr>
      <w:r w:rsidRPr="003B7B76">
        <w:rPr>
          <w:sz w:val="28"/>
          <w:szCs w:val="28"/>
        </w:rPr>
        <w:t>житлового будівництва на 20</w:t>
      </w:r>
      <w:r>
        <w:rPr>
          <w:sz w:val="28"/>
          <w:szCs w:val="28"/>
        </w:rPr>
        <w:t>11</w:t>
      </w:r>
      <w:r w:rsidRPr="003B7B76">
        <w:rPr>
          <w:sz w:val="28"/>
          <w:szCs w:val="28"/>
        </w:rPr>
        <w:t xml:space="preserve"> рік</w:t>
      </w:r>
    </w:p>
    <w:p w:rsidR="00C622A2" w:rsidRDefault="00C622A2" w:rsidP="00C622A2">
      <w:pPr>
        <w:tabs>
          <w:tab w:val="left" w:pos="748"/>
        </w:tabs>
        <w:jc w:val="center"/>
        <w:rPr>
          <w:sz w:val="28"/>
          <w:szCs w:val="28"/>
        </w:rPr>
      </w:pP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Регіональні показники розвитку житлового будівництва на 2011 рік розроблені </w:t>
      </w:r>
      <w:r w:rsidRPr="00BD48D4">
        <w:rPr>
          <w:sz w:val="28"/>
        </w:rPr>
        <w:t>відповідно до Закон</w:t>
      </w:r>
      <w:r>
        <w:rPr>
          <w:sz w:val="28"/>
        </w:rPr>
        <w:t xml:space="preserve">у </w:t>
      </w:r>
      <w:r w:rsidRPr="00BD48D4">
        <w:rPr>
          <w:sz w:val="28"/>
        </w:rPr>
        <w:t>України</w:t>
      </w:r>
      <w:r>
        <w:rPr>
          <w:sz w:val="28"/>
        </w:rPr>
        <w:t xml:space="preserve"> </w:t>
      </w:r>
      <w:r w:rsidRPr="00BD48D4">
        <w:rPr>
          <w:sz w:val="28"/>
          <w:szCs w:val="28"/>
        </w:rPr>
        <w:t>„</w:t>
      </w:r>
      <w:r w:rsidRPr="00BD48D4">
        <w:rPr>
          <w:sz w:val="28"/>
        </w:rPr>
        <w:t>Про місцеві державні адміністрації</w:t>
      </w:r>
      <w:r w:rsidRPr="00BD48D4">
        <w:rPr>
          <w:sz w:val="28"/>
          <w:szCs w:val="28"/>
        </w:rPr>
        <w:t>”</w:t>
      </w:r>
      <w:r>
        <w:rPr>
          <w:sz w:val="28"/>
          <w:szCs w:val="28"/>
        </w:rPr>
        <w:t xml:space="preserve"> та на виконання розпорядження Кабінету Міністрів України </w:t>
      </w:r>
      <w:r>
        <w:rPr>
          <w:sz w:val="28"/>
        </w:rPr>
        <w:t>від 8 вересня 2010 № 1794-р „Про затвердження плану заходів на 2011 рік щодо реалізації Державної стратегії регіонального розвитку на період до 2015 року”, а також окремих позицій розділу „</w:t>
      </w:r>
      <w:r w:rsidRPr="008C53D5">
        <w:rPr>
          <w:sz w:val="28"/>
          <w:szCs w:val="28"/>
        </w:rPr>
        <w:t>Р</w:t>
      </w:r>
      <w:r>
        <w:rPr>
          <w:sz w:val="28"/>
          <w:szCs w:val="28"/>
        </w:rPr>
        <w:t xml:space="preserve">озвиток будівництва” </w:t>
      </w:r>
      <w:r>
        <w:rPr>
          <w:sz w:val="28"/>
        </w:rPr>
        <w:t>Програми економічного і соціального розвитку Полтавської області на 2011 рік, затвердженої рішенням другої позачергової сесії шостого скликання обласної ради від 28 грудня 2010 року.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 w:rsidRPr="003B7B76">
        <w:rPr>
          <w:sz w:val="28"/>
          <w:szCs w:val="28"/>
        </w:rPr>
        <w:tab/>
      </w:r>
      <w:r w:rsidRPr="003F2DC7">
        <w:rPr>
          <w:b/>
          <w:sz w:val="28"/>
          <w:szCs w:val="28"/>
        </w:rPr>
        <w:t>Розділ І.</w:t>
      </w:r>
      <w:r w:rsidRPr="003B7B76">
        <w:rPr>
          <w:sz w:val="28"/>
          <w:szCs w:val="28"/>
        </w:rPr>
        <w:t xml:space="preserve"> Аналіз стану розвитку житлового будівництва області в</w:t>
      </w:r>
      <w:r>
        <w:rPr>
          <w:sz w:val="28"/>
          <w:szCs w:val="28"/>
        </w:rPr>
        <w:t xml:space="preserve"> </w:t>
      </w:r>
      <w:r w:rsidRPr="003B7B76">
        <w:rPr>
          <w:sz w:val="28"/>
          <w:szCs w:val="28"/>
        </w:rPr>
        <w:t>20</w:t>
      </w:r>
      <w:r>
        <w:rPr>
          <w:sz w:val="28"/>
          <w:szCs w:val="28"/>
        </w:rPr>
        <w:t>10</w:t>
      </w:r>
      <w:r w:rsidRPr="003B7B76">
        <w:rPr>
          <w:sz w:val="28"/>
          <w:szCs w:val="28"/>
        </w:rPr>
        <w:t xml:space="preserve"> році.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У 2010 році забудовниками області </w:t>
      </w:r>
      <w:r>
        <w:rPr>
          <w:sz w:val="28"/>
          <w:szCs w:val="28"/>
        </w:rPr>
        <w:t xml:space="preserve">за рахунок усіх джерел фінансування введено в експлуатацію 246,3 тис кв. метра загальної площі житла, що становить 158,4 % до показників 2009 року та 117,3 % до прогнозних, затверджених розпорядженням голови облдержадміністрації від 07.05.2010 № 154 „Про затвердження регіональних показників розвитку житлового будівництва на 2010 рік”. 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Збільшення темпів будівництва житла досягнуто завдяки нарощуванню обсягів його спорудження індивідуальними забудовниками – 144,3 тис. кв. метрів, з них 95,1 тис. кв. метрів введено відповідно до Тимчасового порядку прийняття в експлуатацію закінчених будівництвом приватних житлових будинків садибного типу, дачних та садових будинків з господарськими спорудами і будівлями, споруджених без дозволу на виконання будівельних робіт”, затвердженого постановою Кабінету Міністрів України від 09.09.2009 № 1035.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3868">
        <w:rPr>
          <w:sz w:val="28"/>
          <w:szCs w:val="28"/>
        </w:rPr>
        <w:t>Із загального обсягу споруджено багатоквартирного житла</w:t>
      </w:r>
      <w:r>
        <w:rPr>
          <w:sz w:val="28"/>
          <w:szCs w:val="28"/>
        </w:rPr>
        <w:t xml:space="preserve"> </w:t>
      </w:r>
      <w:r w:rsidRPr="00713868">
        <w:rPr>
          <w:sz w:val="28"/>
          <w:szCs w:val="28"/>
        </w:rPr>
        <w:t>102,0 тис. кв. метрів</w:t>
      </w:r>
      <w:r>
        <w:rPr>
          <w:sz w:val="28"/>
          <w:szCs w:val="28"/>
        </w:rPr>
        <w:t xml:space="preserve">, або </w:t>
      </w:r>
      <w:r w:rsidRPr="00713868">
        <w:rPr>
          <w:sz w:val="28"/>
          <w:szCs w:val="28"/>
        </w:rPr>
        <w:t>105,5% до аналогічних показників 2009 року.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Понад дві третини загального обсягу введеного житла побудовано у містах Полтаві та Кременчуці, Кременчуцькому і Полтавському районах.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 міських поселеннях введено в експлуатацію 178,8 тис. кв. метрів загальної площі житла (на 37,6% більше проти 2009 р.), у сільській місцевості – 67,5 тис. кв. метрів (у 1,6 </w:t>
      </w:r>
      <w:proofErr w:type="spellStart"/>
      <w:r>
        <w:rPr>
          <w:sz w:val="28"/>
          <w:szCs w:val="28"/>
        </w:rPr>
        <w:t>раза</w:t>
      </w:r>
      <w:proofErr w:type="spellEnd"/>
      <w:r>
        <w:rPr>
          <w:sz w:val="28"/>
          <w:szCs w:val="28"/>
        </w:rPr>
        <w:t xml:space="preserve"> більше ніж у 2009 році).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Полтавщині продовжується реалізація певних діючих програм забезпечення житлом окремих категорій громадян. 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Проте слід зазначити, що відсутність належного бюджетного фінансування стримувало розвиток будівництва житла для окремих пільгових категорій громадян, зокрема для молоді, сільських забудовників. 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Так, у 2010 році на кредитування індивідуального житлового будівництва на селі за програмою „Власний дім” залучено лише 4,3 млн. грн., що становить 69 % до 2009 року. Це дало змогу добудувати та придбати тільки 78 будинків загальною площею 5,3 тис. кв. метрів, що на 4 тис. кв. метрів менше ніж у 2009 році. Скорочення кредитування та низька платоспроможність населення на селі при високій вартості 1 квадратного метра житла не дали можливості виконати зазначену річну програму.</w:t>
      </w:r>
    </w:p>
    <w:p w:rsidR="00C622A2" w:rsidRDefault="00C622A2" w:rsidP="00C622A2">
      <w:pPr>
        <w:pStyle w:val="BodyText"/>
        <w:jc w:val="both"/>
        <w:outlineLvl w:val="0"/>
      </w:pPr>
      <w:r>
        <w:tab/>
        <w:t xml:space="preserve">На рівні 2009 року залучені кредитні ресурси на молодіжне житлове будівництво в сумі </w:t>
      </w:r>
      <w:r w:rsidRPr="00FE4A99">
        <w:t>2</w:t>
      </w:r>
      <w:r>
        <w:t>,</w:t>
      </w:r>
      <w:r w:rsidRPr="00FE4A99">
        <w:t>3</w:t>
      </w:r>
      <w:r>
        <w:t xml:space="preserve"> млн.</w:t>
      </w:r>
      <w:r w:rsidRPr="00FE4A99">
        <w:t xml:space="preserve"> грн., </w:t>
      </w:r>
      <w:r>
        <w:t>у</w:t>
      </w:r>
      <w:r w:rsidRPr="00FE4A99">
        <w:t xml:space="preserve"> тому числі з державного бюджету –</w:t>
      </w:r>
      <w:r>
        <w:t xml:space="preserve"> 0,8 млн</w:t>
      </w:r>
      <w:r w:rsidRPr="00FE4A99">
        <w:t xml:space="preserve">. грн., з обласного </w:t>
      </w:r>
      <w:r>
        <w:t xml:space="preserve">та інших місцевих бюджетів – 1,5 млн. </w:t>
      </w:r>
      <w:r w:rsidRPr="00FE4A99">
        <w:t>грн.</w:t>
      </w:r>
      <w:r>
        <w:t xml:space="preserve"> Із залученням коштів минулих років придбано на вторинному ринку 1 квартиру в м. Кобеляки та 2 квартири в новозбудованому багатоквартирному житловому будинку по вул. Марії </w:t>
      </w:r>
      <w:proofErr w:type="spellStart"/>
      <w:r>
        <w:t>Башкірцевої</w:t>
      </w:r>
      <w:proofErr w:type="spellEnd"/>
      <w:r>
        <w:t>, 37 в м. Полтаві. Продовжувалося виконання робіт на будівництві багатоквартирного житлового будинку № 36 в мікрорайоні 278 в м. Кременчуці.</w:t>
      </w:r>
    </w:p>
    <w:p w:rsidR="00C622A2" w:rsidRPr="003674F3" w:rsidRDefault="00C622A2" w:rsidP="00C622A2">
      <w:pPr>
        <w:ind w:firstLine="709"/>
        <w:jc w:val="both"/>
        <w:outlineLvl w:val="0"/>
        <w:rPr>
          <w:sz w:val="28"/>
          <w:szCs w:val="28"/>
        </w:rPr>
      </w:pPr>
      <w:r w:rsidRPr="003674F3">
        <w:rPr>
          <w:sz w:val="28"/>
          <w:szCs w:val="28"/>
        </w:rPr>
        <w:t xml:space="preserve">В області </w:t>
      </w:r>
      <w:r>
        <w:rPr>
          <w:sz w:val="28"/>
          <w:szCs w:val="28"/>
        </w:rPr>
        <w:t xml:space="preserve">також </w:t>
      </w:r>
      <w:r w:rsidRPr="003674F3">
        <w:rPr>
          <w:sz w:val="28"/>
          <w:szCs w:val="28"/>
        </w:rPr>
        <w:t>існує нагальна проблема щодо забезпечення житлом військовослужбовців Збройних Сил України.</w:t>
      </w:r>
    </w:p>
    <w:p w:rsidR="00C622A2" w:rsidRPr="003674F3" w:rsidRDefault="00C622A2" w:rsidP="00C622A2">
      <w:pPr>
        <w:ind w:firstLine="709"/>
        <w:jc w:val="both"/>
        <w:outlineLvl w:val="0"/>
        <w:rPr>
          <w:sz w:val="28"/>
          <w:szCs w:val="28"/>
        </w:rPr>
      </w:pPr>
      <w:r w:rsidRPr="003674F3">
        <w:rPr>
          <w:sz w:val="28"/>
          <w:szCs w:val="28"/>
        </w:rPr>
        <w:t xml:space="preserve">Незважаючи на те, що щорічно на </w:t>
      </w:r>
      <w:r>
        <w:rPr>
          <w:sz w:val="28"/>
          <w:szCs w:val="28"/>
        </w:rPr>
        <w:t xml:space="preserve">зазначені </w:t>
      </w:r>
      <w:r w:rsidRPr="003674F3">
        <w:rPr>
          <w:sz w:val="28"/>
          <w:szCs w:val="28"/>
        </w:rPr>
        <w:t xml:space="preserve">цілі з Державного бюджету України виділяються значні асигнування Міністерству оборони України, для військовослужбовців Полтавщини </w:t>
      </w:r>
      <w:r>
        <w:rPr>
          <w:sz w:val="28"/>
          <w:szCs w:val="28"/>
        </w:rPr>
        <w:t>в 2010 році було придбано лише 16 квартир, у тому числі в м. Миргороді – 14, в м. Лубни – 2. Н</w:t>
      </w:r>
      <w:r w:rsidRPr="003674F3">
        <w:rPr>
          <w:sz w:val="28"/>
          <w:szCs w:val="28"/>
        </w:rPr>
        <w:t>е придбано жодної квартири</w:t>
      </w:r>
      <w:r>
        <w:rPr>
          <w:sz w:val="28"/>
          <w:szCs w:val="28"/>
        </w:rPr>
        <w:t xml:space="preserve"> в м. Полтаві</w:t>
      </w:r>
      <w:r w:rsidRPr="003674F3">
        <w:rPr>
          <w:sz w:val="28"/>
          <w:szCs w:val="28"/>
        </w:rPr>
        <w:t xml:space="preserve">, що викликає соціальну напругу серед </w:t>
      </w:r>
      <w:r>
        <w:rPr>
          <w:sz w:val="28"/>
          <w:szCs w:val="28"/>
        </w:rPr>
        <w:t xml:space="preserve">вищевказаної </w:t>
      </w:r>
      <w:r w:rsidRPr="003674F3">
        <w:rPr>
          <w:sz w:val="28"/>
          <w:szCs w:val="28"/>
        </w:rPr>
        <w:t>категорії громадян.</w:t>
      </w:r>
    </w:p>
    <w:p w:rsidR="00C622A2" w:rsidRPr="002642A0" w:rsidRDefault="00C622A2" w:rsidP="00C622A2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У</w:t>
      </w:r>
      <w:r w:rsidRPr="00F40122">
        <w:rPr>
          <w:sz w:val="28"/>
          <w:szCs w:val="28"/>
        </w:rPr>
        <w:t xml:space="preserve">се це разом узяте призвело до того, що </w:t>
      </w:r>
      <w:r>
        <w:rPr>
          <w:sz w:val="28"/>
          <w:szCs w:val="28"/>
        </w:rPr>
        <w:t xml:space="preserve">зменшилися темпи будівництва житла </w:t>
      </w:r>
      <w:r w:rsidRPr="00F40122">
        <w:rPr>
          <w:sz w:val="28"/>
          <w:szCs w:val="28"/>
        </w:rPr>
        <w:t>проти 2009 року в</w:t>
      </w:r>
      <w:r>
        <w:rPr>
          <w:sz w:val="28"/>
          <w:szCs w:val="28"/>
        </w:rPr>
        <w:t xml:space="preserve"> окремих районах області, зокрема в </w:t>
      </w:r>
      <w:proofErr w:type="spellStart"/>
      <w:r w:rsidRPr="00F40122">
        <w:rPr>
          <w:sz w:val="28"/>
          <w:szCs w:val="28"/>
        </w:rPr>
        <w:t>Чорнухинському</w:t>
      </w:r>
      <w:proofErr w:type="spellEnd"/>
      <w:r w:rsidRPr="00F40122">
        <w:rPr>
          <w:sz w:val="28"/>
          <w:szCs w:val="28"/>
        </w:rPr>
        <w:t xml:space="preserve"> (28,8%), Лубенському (36,1%), </w:t>
      </w:r>
      <w:proofErr w:type="spellStart"/>
      <w:r w:rsidRPr="00F40122">
        <w:rPr>
          <w:sz w:val="28"/>
          <w:szCs w:val="28"/>
        </w:rPr>
        <w:t>Хорольському</w:t>
      </w:r>
      <w:proofErr w:type="spellEnd"/>
      <w:r w:rsidRPr="00F40122">
        <w:rPr>
          <w:sz w:val="28"/>
          <w:szCs w:val="28"/>
        </w:rPr>
        <w:t xml:space="preserve"> (36,7%), Пирятинському (61,3%), </w:t>
      </w:r>
      <w:proofErr w:type="spellStart"/>
      <w:r w:rsidRPr="00F40122">
        <w:rPr>
          <w:sz w:val="28"/>
          <w:szCs w:val="28"/>
        </w:rPr>
        <w:t>Новосанжарському</w:t>
      </w:r>
      <w:proofErr w:type="spellEnd"/>
      <w:r w:rsidRPr="00F40122">
        <w:rPr>
          <w:sz w:val="28"/>
          <w:szCs w:val="28"/>
        </w:rPr>
        <w:t xml:space="preserve"> (68,3%)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Машівському</w:t>
      </w:r>
      <w:proofErr w:type="spellEnd"/>
      <w:r>
        <w:rPr>
          <w:sz w:val="28"/>
          <w:szCs w:val="28"/>
        </w:rPr>
        <w:t xml:space="preserve"> (73,3%)</w:t>
      </w:r>
      <w:r w:rsidRPr="00F40122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2642A0">
        <w:rPr>
          <w:noProof/>
          <w:sz w:val="28"/>
          <w:szCs w:val="28"/>
        </w:rPr>
        <w:t xml:space="preserve"> Семенівському районі </w:t>
      </w:r>
      <w:r w:rsidRPr="002642A0">
        <w:rPr>
          <w:sz w:val="28"/>
          <w:szCs w:val="28"/>
        </w:rPr>
        <w:t>не здано жодного квадратного метра.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Слід відмітити, що основними причинами, які стримують введення в експлуатацію житла, є: обмеженість коштів, що спрямовуються на будівництво житла з усіх джерел фінансування, низька платоспроможність населення, високі відсоткові ставки банків за користування житловими кредитами, зростання вартості будівельних матеріалів, транспортних послуг та енергоносіїв. </w:t>
      </w:r>
    </w:p>
    <w:p w:rsidR="00C622A2" w:rsidRDefault="00C622A2" w:rsidP="00C622A2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 той же час з метою забезпечення громадян, що потребують поліпшення житлових умов, доступним житлом та на виконання Указу Президента України від 08.11.2007 № 1077/2007 „Про заходи щодо будівництва доступного житла в Україні та поліпшення забезпечення громадян житлом”, постанови Кабінету Міністрів України від 11.11.2009 № 1249 „Про затвердження Державної цільової соціально-економічної програми будівництва (придбання) доступного житла на 2010-2017 роки”, р</w:t>
      </w:r>
      <w:r w:rsidRPr="00F046C4">
        <w:rPr>
          <w:sz w:val="28"/>
          <w:szCs w:val="28"/>
        </w:rPr>
        <w:t>ішення</w:t>
      </w:r>
      <w:r>
        <w:rPr>
          <w:sz w:val="28"/>
          <w:szCs w:val="28"/>
        </w:rPr>
        <w:t>м</w:t>
      </w:r>
      <w:r w:rsidRPr="00F046C4">
        <w:rPr>
          <w:sz w:val="28"/>
          <w:szCs w:val="28"/>
        </w:rPr>
        <w:t xml:space="preserve"> сесії обласної ради від 23.06.2010</w:t>
      </w:r>
      <w:r>
        <w:rPr>
          <w:sz w:val="28"/>
          <w:szCs w:val="28"/>
        </w:rPr>
        <w:t xml:space="preserve"> </w:t>
      </w:r>
      <w:r w:rsidRPr="00F046C4">
        <w:rPr>
          <w:sz w:val="28"/>
          <w:szCs w:val="28"/>
        </w:rPr>
        <w:t xml:space="preserve">затверджена відповідна обласна </w:t>
      </w:r>
      <w:r>
        <w:rPr>
          <w:sz w:val="28"/>
          <w:szCs w:val="28"/>
        </w:rPr>
        <w:t>П</w:t>
      </w:r>
      <w:r w:rsidRPr="00F046C4">
        <w:rPr>
          <w:sz w:val="28"/>
          <w:szCs w:val="28"/>
        </w:rPr>
        <w:t>рограма.</w:t>
      </w:r>
    </w:p>
    <w:p w:rsidR="00C622A2" w:rsidRDefault="00C622A2" w:rsidP="00C622A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У 2010 році за цією Програмою державну підтримку отримала 51 сім’я, яка потребувала поліпшення житлових умов. Було надано 2,6 тис. кв. метрів житла загальною вартістю 11,2 млн. грн., у тому числі державна допомога становила 3,2 млн. грн. </w:t>
      </w:r>
      <w:r>
        <w:rPr>
          <w:sz w:val="28"/>
        </w:rPr>
        <w:tab/>
        <w:t>Залучення цих асигнувань дало можливість увести в експлуатацію 2 багатоквартирні житлові будинки в містах Полтаві та Комсомольську.</w:t>
      </w:r>
    </w:p>
    <w:p w:rsidR="00C622A2" w:rsidRDefault="00C622A2" w:rsidP="00C622A2">
      <w:pPr>
        <w:ind w:firstLine="851"/>
        <w:jc w:val="both"/>
        <w:rPr>
          <w:sz w:val="28"/>
          <w:szCs w:val="28"/>
        </w:rPr>
      </w:pPr>
      <w:r w:rsidRPr="00CA62BA">
        <w:rPr>
          <w:sz w:val="28"/>
          <w:szCs w:val="28"/>
        </w:rPr>
        <w:t>На її впровадження за пропозиціями органів місцевого самоврядування на території області в усіх містах обласного значення, районних центрах та деяких сільських населених пунктах визначен</w:t>
      </w:r>
      <w:r>
        <w:rPr>
          <w:sz w:val="28"/>
          <w:szCs w:val="28"/>
        </w:rPr>
        <w:t>і</w:t>
      </w:r>
      <w:r w:rsidRPr="00CA62BA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CA62BA">
        <w:rPr>
          <w:sz w:val="28"/>
          <w:szCs w:val="28"/>
        </w:rPr>
        <w:t xml:space="preserve"> зарезервован</w:t>
      </w:r>
      <w:r>
        <w:rPr>
          <w:sz w:val="28"/>
          <w:szCs w:val="28"/>
        </w:rPr>
        <w:t>і</w:t>
      </w:r>
      <w:r w:rsidRPr="00CA62BA">
        <w:rPr>
          <w:sz w:val="28"/>
          <w:szCs w:val="28"/>
        </w:rPr>
        <w:t xml:space="preserve"> 22 земельні ділянки</w:t>
      </w:r>
      <w:r>
        <w:rPr>
          <w:sz w:val="28"/>
          <w:szCs w:val="28"/>
        </w:rPr>
        <w:t xml:space="preserve"> </w:t>
      </w:r>
      <w:r w:rsidRPr="00CA62BA">
        <w:rPr>
          <w:sz w:val="28"/>
          <w:szCs w:val="28"/>
        </w:rPr>
        <w:t xml:space="preserve">площею близько </w:t>
      </w:r>
      <w:smartTag w:uri="urn:schemas-microsoft-com:office:smarttags" w:element="metricconverter">
        <w:smartTagPr>
          <w:attr w:name="ProductID" w:val="76 га"/>
        </w:smartTagPr>
        <w:r w:rsidRPr="00CA62BA">
          <w:rPr>
            <w:sz w:val="28"/>
            <w:szCs w:val="28"/>
          </w:rPr>
          <w:t>76 га</w:t>
        </w:r>
      </w:smartTag>
      <w:r>
        <w:rPr>
          <w:sz w:val="28"/>
          <w:szCs w:val="28"/>
        </w:rPr>
        <w:t xml:space="preserve">, які можливо залучити </w:t>
      </w:r>
      <w:r w:rsidRPr="00CA62BA">
        <w:rPr>
          <w:sz w:val="28"/>
          <w:szCs w:val="28"/>
        </w:rPr>
        <w:t>для будівництва доступного житла. Ділянки розташовані на землях житлово-громадської забудови і не потребують особливих умов відведення.</w:t>
      </w:r>
    </w:p>
    <w:p w:rsidR="00C622A2" w:rsidRPr="00BA5F5E" w:rsidRDefault="00C622A2" w:rsidP="00C622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Завдяки </w:t>
      </w:r>
      <w:r w:rsidRPr="00BA5F5E">
        <w:rPr>
          <w:sz w:val="28"/>
          <w:szCs w:val="28"/>
        </w:rPr>
        <w:t>залученн</w:t>
      </w:r>
      <w:r>
        <w:rPr>
          <w:sz w:val="28"/>
          <w:szCs w:val="28"/>
        </w:rPr>
        <w:t>ю</w:t>
      </w:r>
      <w:r w:rsidRPr="00BA5F5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A5F5E">
        <w:rPr>
          <w:sz w:val="28"/>
          <w:szCs w:val="28"/>
        </w:rPr>
        <w:t xml:space="preserve"> 2010 році державних асигнувань</w:t>
      </w:r>
      <w:r>
        <w:rPr>
          <w:sz w:val="28"/>
          <w:szCs w:val="28"/>
        </w:rPr>
        <w:t xml:space="preserve"> з</w:t>
      </w:r>
      <w:r w:rsidRPr="00BA5F5E">
        <w:rPr>
          <w:sz w:val="28"/>
          <w:szCs w:val="28"/>
        </w:rPr>
        <w:t>а окремими державними житловими програмами отримали житло</w:t>
      </w:r>
      <w:r>
        <w:rPr>
          <w:sz w:val="28"/>
          <w:szCs w:val="28"/>
        </w:rPr>
        <w:t xml:space="preserve"> взагалі </w:t>
      </w:r>
      <w:r w:rsidRPr="00BA5F5E">
        <w:rPr>
          <w:sz w:val="28"/>
          <w:szCs w:val="28"/>
        </w:rPr>
        <w:t>72 сім’ї, які перебували на квартирному обліку при місцевих органах влади.</w:t>
      </w:r>
    </w:p>
    <w:p w:rsidR="00C622A2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Певна організаторська робота органів місцевої влади та самоврядування, активна позиція будівельників дали можливість з</w:t>
      </w:r>
      <w:r w:rsidRPr="00B03DC9">
        <w:rPr>
          <w:sz w:val="28"/>
          <w:szCs w:val="28"/>
        </w:rPr>
        <w:t>більши</w:t>
      </w:r>
      <w:r>
        <w:rPr>
          <w:sz w:val="28"/>
          <w:szCs w:val="28"/>
        </w:rPr>
        <w:t>т</w:t>
      </w:r>
      <w:r w:rsidRPr="00B03DC9">
        <w:rPr>
          <w:sz w:val="28"/>
          <w:szCs w:val="28"/>
        </w:rPr>
        <w:t>и</w:t>
      </w:r>
      <w:r w:rsidRPr="00B03DC9">
        <w:rPr>
          <w:noProof/>
          <w:sz w:val="28"/>
          <w:szCs w:val="28"/>
        </w:rPr>
        <w:t xml:space="preserve"> обсяги </w:t>
      </w:r>
      <w:r>
        <w:rPr>
          <w:noProof/>
          <w:sz w:val="28"/>
          <w:szCs w:val="28"/>
        </w:rPr>
        <w:t>у</w:t>
      </w:r>
      <w:r w:rsidRPr="00B03DC9">
        <w:rPr>
          <w:noProof/>
          <w:sz w:val="28"/>
          <w:szCs w:val="28"/>
        </w:rPr>
        <w:t>ведення</w:t>
      </w:r>
      <w:r>
        <w:rPr>
          <w:noProof/>
          <w:sz w:val="28"/>
          <w:szCs w:val="28"/>
        </w:rPr>
        <w:t xml:space="preserve"> в експлуатацію </w:t>
      </w:r>
      <w:r w:rsidRPr="00B03DC9">
        <w:rPr>
          <w:noProof/>
          <w:sz w:val="28"/>
          <w:szCs w:val="28"/>
        </w:rPr>
        <w:t xml:space="preserve">житла </w:t>
      </w:r>
      <w:r>
        <w:rPr>
          <w:noProof/>
          <w:sz w:val="28"/>
          <w:szCs w:val="28"/>
        </w:rPr>
        <w:t xml:space="preserve">в </w:t>
      </w:r>
      <w:r w:rsidRPr="00B03DC9">
        <w:rPr>
          <w:noProof/>
          <w:sz w:val="28"/>
          <w:szCs w:val="28"/>
        </w:rPr>
        <w:t>21 адміністративно-територіальн</w:t>
      </w:r>
      <w:r>
        <w:rPr>
          <w:noProof/>
          <w:sz w:val="28"/>
          <w:szCs w:val="28"/>
        </w:rPr>
        <w:t>ій</w:t>
      </w:r>
      <w:r w:rsidRPr="00B03DC9">
        <w:rPr>
          <w:noProof/>
          <w:sz w:val="28"/>
          <w:szCs w:val="28"/>
        </w:rPr>
        <w:t xml:space="preserve"> одиниц</w:t>
      </w:r>
      <w:r>
        <w:rPr>
          <w:noProof/>
          <w:sz w:val="28"/>
          <w:szCs w:val="28"/>
        </w:rPr>
        <w:t>і</w:t>
      </w:r>
      <w:r w:rsidRPr="00B03DC9">
        <w:rPr>
          <w:noProof/>
          <w:sz w:val="28"/>
          <w:szCs w:val="28"/>
        </w:rPr>
        <w:t xml:space="preserve"> області. Значних темпів зростання досягнуто </w:t>
      </w:r>
      <w:r>
        <w:rPr>
          <w:noProof/>
          <w:sz w:val="28"/>
          <w:szCs w:val="28"/>
        </w:rPr>
        <w:t>в</w:t>
      </w:r>
      <w:r w:rsidRPr="00B03DC9">
        <w:rPr>
          <w:noProof/>
          <w:sz w:val="28"/>
          <w:szCs w:val="28"/>
        </w:rPr>
        <w:t xml:space="preserve"> містах Комсомольську (у 24,6 рази), Полтаві (139,9%), Кременчуці (122,2%) та Решетилівському (у 15,4 рази), Глобинському (у 10,2 рази), Козельщинському (у 7,5 рази), Котелевському</w:t>
      </w:r>
      <w:r>
        <w:rPr>
          <w:noProof/>
          <w:sz w:val="28"/>
          <w:szCs w:val="28"/>
        </w:rPr>
        <w:t xml:space="preserve"> </w:t>
      </w:r>
      <w:r w:rsidRPr="00B03DC9">
        <w:rPr>
          <w:noProof/>
          <w:sz w:val="28"/>
          <w:szCs w:val="28"/>
        </w:rPr>
        <w:t>(у 6,2 рази), Лохвицькому (у 5,7 рази), Миргородському (у 3,3 рази) районах.</w:t>
      </w:r>
      <w:r>
        <w:rPr>
          <w:sz w:val="28"/>
          <w:szCs w:val="28"/>
        </w:rPr>
        <w:t xml:space="preserve"> </w:t>
      </w:r>
    </w:p>
    <w:p w:rsidR="00C622A2" w:rsidRPr="00B03DC9" w:rsidRDefault="00C622A2" w:rsidP="00C622A2">
      <w:pPr>
        <w:tabs>
          <w:tab w:val="left" w:pos="702"/>
          <w:tab w:val="left" w:pos="50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Полтавщина за кількісними показниками уведення в експлуатацію житла в 2010 році знаходилася в першій половині серед регіонів України.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 w:rsidRPr="000E6940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Проте</w:t>
      </w:r>
      <w:r w:rsidRPr="000E6940">
        <w:rPr>
          <w:noProof/>
          <w:sz w:val="28"/>
          <w:szCs w:val="28"/>
        </w:rPr>
        <w:t xml:space="preserve"> житлова проблема </w:t>
      </w:r>
      <w:r w:rsidRPr="000E6940">
        <w:rPr>
          <w:sz w:val="28"/>
          <w:szCs w:val="28"/>
        </w:rPr>
        <w:t xml:space="preserve">залишається однією з найбільш актуальних в </w:t>
      </w:r>
      <w:r>
        <w:rPr>
          <w:sz w:val="28"/>
          <w:szCs w:val="28"/>
        </w:rPr>
        <w:t>області</w:t>
      </w:r>
      <w:r w:rsidRPr="000E6940">
        <w:rPr>
          <w:sz w:val="28"/>
          <w:szCs w:val="28"/>
        </w:rPr>
        <w:t>. Її актуальність пов’язана з наявністю значної кількості громадян, які потребують її вирішення</w:t>
      </w:r>
      <w:r>
        <w:rPr>
          <w:sz w:val="28"/>
          <w:szCs w:val="28"/>
        </w:rPr>
        <w:t>,</w:t>
      </w:r>
      <w:r w:rsidRPr="000E6940">
        <w:rPr>
          <w:sz w:val="28"/>
          <w:szCs w:val="28"/>
        </w:rPr>
        <w:t xml:space="preserve"> та незначним державним фінансуванням цих заходів. </w:t>
      </w:r>
    </w:p>
    <w:p w:rsidR="00C622A2" w:rsidRPr="000E6940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F2DC7">
        <w:rPr>
          <w:b/>
          <w:sz w:val="28"/>
          <w:szCs w:val="28"/>
        </w:rPr>
        <w:t>Розділ ІІ.</w:t>
      </w:r>
      <w:r w:rsidRPr="003B7B76">
        <w:rPr>
          <w:sz w:val="28"/>
          <w:szCs w:val="28"/>
        </w:rPr>
        <w:t xml:space="preserve"> Напрями та показники розвитку житлового будівництва області на 20</w:t>
      </w:r>
      <w:r>
        <w:rPr>
          <w:sz w:val="28"/>
          <w:szCs w:val="28"/>
        </w:rPr>
        <w:t>11</w:t>
      </w:r>
      <w:r w:rsidRPr="003B7B76">
        <w:rPr>
          <w:sz w:val="28"/>
          <w:szCs w:val="28"/>
        </w:rPr>
        <w:t xml:space="preserve"> рік.</w:t>
      </w:r>
    </w:p>
    <w:p w:rsidR="00C622A2" w:rsidRDefault="00C622A2" w:rsidP="00C622A2">
      <w:pPr>
        <w:tabs>
          <w:tab w:val="left" w:pos="748"/>
        </w:tabs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>
        <w:rPr>
          <w:noProof/>
          <w:sz w:val="28"/>
          <w:szCs w:val="28"/>
        </w:rPr>
        <w:t>Щорічно обласна державна адміністрація, керуючись вимогами чинного законодавства України, документами центральних органів державної влади, формує показники щодо розвитку житлового будівництва в регіоні.</w:t>
      </w:r>
    </w:p>
    <w:p w:rsidR="00C622A2" w:rsidRDefault="00C622A2" w:rsidP="00C622A2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Зацікавлені державні структури, місцеві органи виконавчої влади та самоврядування, відповідно до повноважень, вносять пропозиції щодо формування цих показників, забезпечують освоєння виділених адміністративно-територіальним одиницям відповідних коштів та ведення моніторингу житлового будівництва. Співпрацюють з виконавцями окремих державних та обласних житлових програм, з зацікавленими фізичними та юридичними особами.</w:t>
      </w:r>
    </w:p>
    <w:p w:rsidR="00C622A2" w:rsidRDefault="00C622A2" w:rsidP="00C622A2">
      <w:pPr>
        <w:tabs>
          <w:tab w:val="left" w:pos="748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Pr="002109FB">
        <w:rPr>
          <w:noProof/>
          <w:sz w:val="28"/>
          <w:szCs w:val="28"/>
        </w:rPr>
        <w:t>Виконавц</w:t>
      </w:r>
      <w:r>
        <w:rPr>
          <w:noProof/>
          <w:sz w:val="28"/>
          <w:szCs w:val="28"/>
        </w:rPr>
        <w:t xml:space="preserve">ями </w:t>
      </w:r>
      <w:r w:rsidRPr="002109FB">
        <w:rPr>
          <w:noProof/>
          <w:sz w:val="28"/>
          <w:szCs w:val="28"/>
        </w:rPr>
        <w:t>та учасник</w:t>
      </w:r>
      <w:r>
        <w:rPr>
          <w:noProof/>
          <w:sz w:val="28"/>
          <w:szCs w:val="28"/>
        </w:rPr>
        <w:t>ами</w:t>
      </w:r>
      <w:r w:rsidRPr="002109F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розробки регіональних показників розвитку житлового будівництва на 2011 рік є Полтавська обласна державна адміністрація, органи місцевого самоврядування, місцеві органи виконавчої влади, підприємства, установи, організації, фізичні та юридичні особи, які беруть участь у будівництві житла.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Його фінансування в області передбачається за рахунок коштів інвесторів, власних коштів громадян, державного та місцевих бюджетів, інших джерел, не заборонених законодавством. 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Регіональні обсяги загальної площі житла, яке прогнозується побудувати в 2011 році, визначені на підставі доведених Міністерством регіонального розвитку, будівництва та житлово-комунального господарства України Полтавській області прогнозно-індикативних планових показників уведення в експлуатацію житла в обсязі 246,4 тис. кв. метрів (з урахуванням Тимчасового порядку).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Із загального обсягу без врахування Тимчасового порядку прийняття в експлуатацію закінчених будівництвом приватних житлових будинків, споруджених без дозволу на виконання будівельних робіт, цей показник становить 151,9 тис. кв. метрів, що складає 100,5 % до аналогічних показників 2010 року. 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недопущення спаду будівництва житла в області з зацікавленими організаціями опрацьована можливість добудови окремих багатоквартирних житлових будинків із високим ступенем будівельної готовності та введення їх в експлуатацію в обсязі 102,8 тис. кв. метрів загальної площі. Такі житлові будинки розташовані в містах Полтаві, Кременчуці, Комсомольську, Лубнах та Полтавському, </w:t>
      </w:r>
      <w:proofErr w:type="spellStart"/>
      <w:r>
        <w:rPr>
          <w:sz w:val="28"/>
          <w:szCs w:val="28"/>
        </w:rPr>
        <w:t>Хорольському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Чорнухинському</w:t>
      </w:r>
      <w:proofErr w:type="spellEnd"/>
      <w:r>
        <w:rPr>
          <w:sz w:val="28"/>
          <w:szCs w:val="28"/>
        </w:rPr>
        <w:t xml:space="preserve"> районах.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Індивідуальними забудовниками прогнозується побудувати з урахуванням Тимчасового порядку 143,6 тис. кв. метрів, що становить 58,3 % від загального обсягу уведення в експлуатацію житла (у тому числі за Тимчасовим порядком – 94,5 тис. кв. метрів). </w:t>
      </w:r>
    </w:p>
    <w:p w:rsidR="00C622A2" w:rsidRDefault="00C622A2" w:rsidP="00C622A2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У 2011 році </w:t>
      </w:r>
      <w:r w:rsidRPr="00363B70">
        <w:rPr>
          <w:sz w:val="28"/>
          <w:szCs w:val="28"/>
        </w:rPr>
        <w:t xml:space="preserve">на Полтавщині </w:t>
      </w:r>
      <w:r>
        <w:rPr>
          <w:sz w:val="28"/>
          <w:szCs w:val="28"/>
        </w:rPr>
        <w:t xml:space="preserve">прогнозується </w:t>
      </w:r>
      <w:r w:rsidRPr="00363B70">
        <w:rPr>
          <w:sz w:val="28"/>
          <w:szCs w:val="28"/>
        </w:rPr>
        <w:t>продовж</w:t>
      </w:r>
      <w:r>
        <w:rPr>
          <w:sz w:val="28"/>
          <w:szCs w:val="28"/>
        </w:rPr>
        <w:t xml:space="preserve">ити </w:t>
      </w:r>
      <w:r w:rsidRPr="00363B70">
        <w:rPr>
          <w:bCs/>
          <w:sz w:val="28"/>
          <w:szCs w:val="28"/>
        </w:rPr>
        <w:t>реалізаці</w:t>
      </w:r>
      <w:r>
        <w:rPr>
          <w:bCs/>
          <w:sz w:val="28"/>
          <w:szCs w:val="28"/>
        </w:rPr>
        <w:t xml:space="preserve">ю державних житлових програм щодо будівництва (придбання) доступного житла, кредитування молодіжного житлового будівництва та індивідуальних сільських забудовників, </w:t>
      </w:r>
      <w:r w:rsidRPr="00421187">
        <w:rPr>
          <w:color w:val="000000"/>
          <w:sz w:val="28"/>
          <w:szCs w:val="28"/>
        </w:rPr>
        <w:t>інших категорій громадян, які потребують захисту з боку держави.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 w:rsidRPr="00363B70">
        <w:tab/>
      </w:r>
      <w:r>
        <w:rPr>
          <w:sz w:val="28"/>
          <w:szCs w:val="28"/>
        </w:rPr>
        <w:t xml:space="preserve">На виконання Указу Президента України від 08.11.2007 № 1077/2007 „Про заходи щодо будівництва доступного житла в Україні та поліпшення забезпечення громадян житлом”, постанови Кабінету Міністрів України від 11.11.2009 № 1249 „Про затвердження Державної цільової соціально-економічної програми будівництва (придбання) доступного житла на 2010 – 2017 роки” та відповідної обласної Програми в регіоні і надалі буде продовжена робота з цього напрямку. 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окремими державними житловими програмами планується добудувати багатоквартирні житлові будинки в містах Полтаві та Кременчуці.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Проведено моніторинг щодо наявності об’єктів незавершеного житлового будівництва в містах і районах області та складено загальний перелік з розподілом його за ступенями будівельної готовності. Усі ці матеріали використані при визначені показників розвитку житлового будівництва.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 w:rsidRPr="009C3397">
        <w:rPr>
          <w:sz w:val="28"/>
          <w:szCs w:val="28"/>
        </w:rPr>
        <w:tab/>
      </w:r>
      <w:r>
        <w:rPr>
          <w:sz w:val="28"/>
          <w:szCs w:val="28"/>
        </w:rPr>
        <w:t xml:space="preserve"> Для забезпечення виконання регіональних показників розвитку житлового будівництва в області, містах і районах на 2011 рік передбачається здійснити такі основні заходи: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здійснення </w:t>
      </w:r>
      <w:r w:rsidRPr="004208FB">
        <w:rPr>
          <w:sz w:val="28"/>
          <w:szCs w:val="28"/>
        </w:rPr>
        <w:t>аналіз</w:t>
      </w:r>
      <w:r>
        <w:rPr>
          <w:sz w:val="28"/>
          <w:szCs w:val="28"/>
        </w:rPr>
        <w:t>у</w:t>
      </w:r>
      <w:r w:rsidRPr="004208FB">
        <w:rPr>
          <w:sz w:val="28"/>
          <w:szCs w:val="28"/>
        </w:rPr>
        <w:t xml:space="preserve"> реальних джерел фінансування будівництва житла в містах і районах області з метою добудови об’єктів</w:t>
      </w:r>
      <w:r>
        <w:rPr>
          <w:sz w:val="28"/>
          <w:szCs w:val="28"/>
        </w:rPr>
        <w:t>,</w:t>
      </w:r>
      <w:r w:rsidRPr="004208FB">
        <w:rPr>
          <w:sz w:val="28"/>
          <w:szCs w:val="28"/>
        </w:rPr>
        <w:t xml:space="preserve"> незавершених будівництвом</w:t>
      </w:r>
      <w:r>
        <w:rPr>
          <w:sz w:val="28"/>
          <w:szCs w:val="28"/>
        </w:rPr>
        <w:t>,</w:t>
      </w:r>
      <w:r w:rsidRPr="004208FB">
        <w:rPr>
          <w:sz w:val="28"/>
          <w:szCs w:val="28"/>
        </w:rPr>
        <w:t xml:space="preserve"> та створення будівельного заділу</w:t>
      </w:r>
      <w:r>
        <w:rPr>
          <w:sz w:val="28"/>
          <w:szCs w:val="28"/>
        </w:rPr>
        <w:t xml:space="preserve"> на 2012 рік;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сприя</w:t>
      </w:r>
      <w:r>
        <w:rPr>
          <w:sz w:val="28"/>
          <w:szCs w:val="28"/>
        </w:rPr>
        <w:t>ння</w:t>
      </w:r>
      <w:r w:rsidRPr="004208FB">
        <w:rPr>
          <w:sz w:val="28"/>
          <w:szCs w:val="28"/>
        </w:rPr>
        <w:t xml:space="preserve"> продовженню дій </w:t>
      </w:r>
      <w:r>
        <w:rPr>
          <w:sz w:val="28"/>
          <w:szCs w:val="28"/>
        </w:rPr>
        <w:t>Д</w:t>
      </w:r>
      <w:r w:rsidRPr="004208FB">
        <w:rPr>
          <w:sz w:val="28"/>
          <w:szCs w:val="28"/>
        </w:rPr>
        <w:t xml:space="preserve">ержавних </w:t>
      </w:r>
      <w:r>
        <w:rPr>
          <w:sz w:val="28"/>
          <w:szCs w:val="28"/>
        </w:rPr>
        <w:t xml:space="preserve">житлових </w:t>
      </w:r>
      <w:r w:rsidRPr="004208FB">
        <w:rPr>
          <w:sz w:val="28"/>
          <w:szCs w:val="28"/>
        </w:rPr>
        <w:t xml:space="preserve">програм </w:t>
      </w:r>
      <w:r>
        <w:rPr>
          <w:sz w:val="28"/>
          <w:szCs w:val="28"/>
        </w:rPr>
        <w:t xml:space="preserve">щодо </w:t>
      </w:r>
      <w:r w:rsidRPr="004208FB">
        <w:rPr>
          <w:sz w:val="28"/>
          <w:szCs w:val="28"/>
        </w:rPr>
        <w:t>забезпечення житлом</w:t>
      </w:r>
      <w:r>
        <w:rPr>
          <w:sz w:val="28"/>
          <w:szCs w:val="28"/>
        </w:rPr>
        <w:t xml:space="preserve"> молоді та </w:t>
      </w:r>
      <w:r w:rsidRPr="004208FB">
        <w:rPr>
          <w:sz w:val="28"/>
          <w:szCs w:val="28"/>
        </w:rPr>
        <w:t>індивідуальних сільських забудовників</w:t>
      </w:r>
      <w:r>
        <w:rPr>
          <w:sz w:val="28"/>
          <w:szCs w:val="28"/>
        </w:rPr>
        <w:t xml:space="preserve">, </w:t>
      </w:r>
      <w:r w:rsidRPr="004208FB">
        <w:rPr>
          <w:sz w:val="28"/>
          <w:szCs w:val="28"/>
        </w:rPr>
        <w:t>цільових програм забезпечення житлом окремих категорій громадян</w:t>
      </w:r>
      <w:r>
        <w:rPr>
          <w:sz w:val="28"/>
          <w:szCs w:val="28"/>
        </w:rPr>
        <w:t>;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залучення коштів місцевих бюджетів на будівництво житла для громадян, що потребують поліпшення житлових умов відповідно до законодавства;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створ</w:t>
      </w:r>
      <w:r>
        <w:rPr>
          <w:sz w:val="28"/>
          <w:szCs w:val="28"/>
        </w:rPr>
        <w:t xml:space="preserve">ення </w:t>
      </w:r>
      <w:r w:rsidRPr="004208FB">
        <w:rPr>
          <w:sz w:val="28"/>
          <w:szCs w:val="28"/>
        </w:rPr>
        <w:t>сприятлив</w:t>
      </w:r>
      <w:r>
        <w:rPr>
          <w:sz w:val="28"/>
          <w:szCs w:val="28"/>
        </w:rPr>
        <w:t>их</w:t>
      </w:r>
      <w:r w:rsidRPr="004208FB">
        <w:rPr>
          <w:sz w:val="28"/>
          <w:szCs w:val="28"/>
        </w:rPr>
        <w:t xml:space="preserve"> умов з боку органів місцевого самоврядування щодо вирішення питань стосовно виділення земельних ділянок під </w:t>
      </w:r>
      <w:r>
        <w:rPr>
          <w:sz w:val="28"/>
          <w:szCs w:val="28"/>
        </w:rPr>
        <w:t xml:space="preserve">житлову </w:t>
      </w:r>
      <w:r w:rsidRPr="004208FB">
        <w:rPr>
          <w:sz w:val="28"/>
          <w:szCs w:val="28"/>
        </w:rPr>
        <w:t xml:space="preserve">забудову, </w:t>
      </w:r>
      <w:r>
        <w:rPr>
          <w:sz w:val="28"/>
          <w:szCs w:val="28"/>
        </w:rPr>
        <w:t xml:space="preserve">зменшення </w:t>
      </w:r>
      <w:r w:rsidRPr="004208FB">
        <w:rPr>
          <w:sz w:val="28"/>
          <w:szCs w:val="28"/>
        </w:rPr>
        <w:t>додаткових фінансових навантажень на забудовників та інших вимог, які</w:t>
      </w:r>
      <w:r>
        <w:rPr>
          <w:sz w:val="28"/>
          <w:szCs w:val="28"/>
        </w:rPr>
        <w:t>,</w:t>
      </w:r>
      <w:r w:rsidRPr="004208FB">
        <w:rPr>
          <w:sz w:val="28"/>
          <w:szCs w:val="28"/>
        </w:rPr>
        <w:t xml:space="preserve"> насамперед</w:t>
      </w:r>
      <w:r>
        <w:rPr>
          <w:sz w:val="28"/>
          <w:szCs w:val="28"/>
        </w:rPr>
        <w:t>,</w:t>
      </w:r>
      <w:r w:rsidRPr="004208FB">
        <w:rPr>
          <w:sz w:val="28"/>
          <w:szCs w:val="28"/>
        </w:rPr>
        <w:t xml:space="preserve"> впливають на варт</w:t>
      </w:r>
      <w:r>
        <w:rPr>
          <w:sz w:val="28"/>
          <w:szCs w:val="28"/>
        </w:rPr>
        <w:t xml:space="preserve">ість </w:t>
      </w:r>
      <w:r w:rsidRPr="004208FB">
        <w:rPr>
          <w:sz w:val="28"/>
          <w:szCs w:val="28"/>
        </w:rPr>
        <w:t>одного квадратного метра житла</w:t>
      </w:r>
      <w:r>
        <w:rPr>
          <w:sz w:val="28"/>
          <w:szCs w:val="28"/>
        </w:rPr>
        <w:t>;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забезпеч</w:t>
      </w:r>
      <w:r>
        <w:rPr>
          <w:sz w:val="28"/>
          <w:szCs w:val="28"/>
        </w:rPr>
        <w:t xml:space="preserve">ення надання </w:t>
      </w:r>
      <w:r w:rsidRPr="004208FB">
        <w:rPr>
          <w:sz w:val="28"/>
          <w:szCs w:val="28"/>
        </w:rPr>
        <w:t>методологічн</w:t>
      </w:r>
      <w:r>
        <w:rPr>
          <w:sz w:val="28"/>
          <w:szCs w:val="28"/>
        </w:rPr>
        <w:t>ої</w:t>
      </w:r>
      <w:r w:rsidRPr="004208FB">
        <w:rPr>
          <w:sz w:val="28"/>
          <w:szCs w:val="28"/>
        </w:rPr>
        <w:t xml:space="preserve"> та організаційн</w:t>
      </w:r>
      <w:r>
        <w:rPr>
          <w:sz w:val="28"/>
          <w:szCs w:val="28"/>
        </w:rPr>
        <w:t>ої</w:t>
      </w:r>
      <w:r w:rsidRPr="004208FB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 xml:space="preserve">и замовникам з питань </w:t>
      </w:r>
      <w:r w:rsidRPr="004208FB">
        <w:rPr>
          <w:sz w:val="28"/>
          <w:szCs w:val="28"/>
        </w:rPr>
        <w:t>розроблення, погодження та затвердження містобудівної документації у порядку, передбаченому законодавством</w:t>
      </w:r>
      <w:r>
        <w:rPr>
          <w:sz w:val="28"/>
          <w:szCs w:val="28"/>
        </w:rPr>
        <w:t>;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розробл</w:t>
      </w:r>
      <w:r>
        <w:rPr>
          <w:sz w:val="28"/>
          <w:szCs w:val="28"/>
        </w:rPr>
        <w:t xml:space="preserve">ення </w:t>
      </w:r>
      <w:r w:rsidRPr="004208FB">
        <w:rPr>
          <w:sz w:val="28"/>
          <w:szCs w:val="28"/>
        </w:rPr>
        <w:t>та оновл</w:t>
      </w:r>
      <w:r>
        <w:rPr>
          <w:sz w:val="28"/>
          <w:szCs w:val="28"/>
        </w:rPr>
        <w:t xml:space="preserve">ення </w:t>
      </w:r>
      <w:r w:rsidRPr="004208FB">
        <w:rPr>
          <w:sz w:val="28"/>
          <w:szCs w:val="28"/>
        </w:rPr>
        <w:t>регіональн</w:t>
      </w:r>
      <w:r>
        <w:rPr>
          <w:sz w:val="28"/>
          <w:szCs w:val="28"/>
        </w:rPr>
        <w:t>их</w:t>
      </w:r>
      <w:r w:rsidRPr="004208FB">
        <w:rPr>
          <w:sz w:val="28"/>
          <w:szCs w:val="28"/>
        </w:rPr>
        <w:t xml:space="preserve"> схем планування територій, генеральн</w:t>
      </w:r>
      <w:r>
        <w:rPr>
          <w:sz w:val="28"/>
          <w:szCs w:val="28"/>
        </w:rPr>
        <w:t>их</w:t>
      </w:r>
      <w:r w:rsidRPr="004208FB">
        <w:rPr>
          <w:sz w:val="28"/>
          <w:szCs w:val="28"/>
        </w:rPr>
        <w:t xml:space="preserve"> план</w:t>
      </w:r>
      <w:r>
        <w:rPr>
          <w:sz w:val="28"/>
          <w:szCs w:val="28"/>
        </w:rPr>
        <w:t>ів</w:t>
      </w:r>
      <w:r w:rsidRPr="004208FB">
        <w:rPr>
          <w:sz w:val="28"/>
          <w:szCs w:val="28"/>
        </w:rPr>
        <w:t xml:space="preserve"> населених пунктів як основи вдосконалення адміністративно-територіального устрою країни та встановлення меж населених пунктів</w:t>
      </w:r>
      <w:r>
        <w:rPr>
          <w:sz w:val="28"/>
          <w:szCs w:val="28"/>
        </w:rPr>
        <w:t>;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08FB">
        <w:rPr>
          <w:sz w:val="28"/>
          <w:szCs w:val="28"/>
        </w:rPr>
        <w:t>нада</w:t>
      </w:r>
      <w:r>
        <w:rPr>
          <w:sz w:val="28"/>
          <w:szCs w:val="28"/>
        </w:rPr>
        <w:t xml:space="preserve">ння </w:t>
      </w:r>
      <w:r w:rsidRPr="004208FB">
        <w:rPr>
          <w:sz w:val="28"/>
          <w:szCs w:val="28"/>
        </w:rPr>
        <w:t>всебічн</w:t>
      </w:r>
      <w:r>
        <w:rPr>
          <w:sz w:val="28"/>
          <w:szCs w:val="28"/>
        </w:rPr>
        <w:t>ого</w:t>
      </w:r>
      <w:r w:rsidRPr="004208FB">
        <w:rPr>
          <w:sz w:val="28"/>
          <w:szCs w:val="28"/>
        </w:rPr>
        <w:t xml:space="preserve"> сприяння інвестиційно-будівельним підприємствам у питаннях завершення будівництва та введення в експлуатацію житлових об’єктів</w:t>
      </w:r>
      <w:r>
        <w:rPr>
          <w:sz w:val="28"/>
          <w:szCs w:val="28"/>
        </w:rPr>
        <w:t>.</w:t>
      </w:r>
    </w:p>
    <w:p w:rsidR="00C622A2" w:rsidRDefault="00C622A2" w:rsidP="00C622A2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Реалізація регіональних показників розвитку житлового будівництва на 2011 рік за фінансової підтримки з боку держави, залучення коштів обласного та місцевих бюджетів, інших джерел фінансування дасть можливість: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поліпшити житлові умови громадян, які тривалий час перебувають на квартирній черзі; </w:t>
      </w:r>
    </w:p>
    <w:p w:rsidR="00C622A2" w:rsidRDefault="00C622A2" w:rsidP="00C622A2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завершити будівництво житлових об’єктів, що припинено;</w:t>
      </w:r>
    </w:p>
    <w:p w:rsidR="00C622A2" w:rsidRDefault="00C622A2" w:rsidP="00C622A2">
      <w:pPr>
        <w:tabs>
          <w:tab w:val="left" w:pos="748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прискорити реалізацію будівництва (придбання) доступного житла;</w:t>
      </w:r>
    </w:p>
    <w:p w:rsidR="00C622A2" w:rsidRDefault="00C622A2" w:rsidP="00C622A2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забезпечити нарощення темпів будівництва житла в наступні роки;</w:t>
      </w:r>
    </w:p>
    <w:p w:rsidR="00C622A2" w:rsidRDefault="00C622A2" w:rsidP="00C622A2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>сприяти поліпшенню демографічної ситуації та закріпленню кадрів;</w:t>
      </w:r>
    </w:p>
    <w:p w:rsidR="00C622A2" w:rsidRDefault="00C622A2" w:rsidP="00C622A2">
      <w:pPr>
        <w:tabs>
          <w:tab w:val="left" w:pos="720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сприяти позитивним змінам у структурі жителів села за віком, фахом тощо. </w:t>
      </w:r>
    </w:p>
    <w:p w:rsidR="00C622A2" w:rsidRDefault="00C622A2" w:rsidP="00C622A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Регіональні показники розвитку житлового будівництва на 2011 рік викладені в таблицях 1 – 5.</w:t>
      </w: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Заступник голови - </w:t>
      </w: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 xml:space="preserve">керівник апарату </w:t>
      </w: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</w:pPr>
      <w:r>
        <w:rPr>
          <w:sz w:val="28"/>
        </w:rPr>
        <w:t>облдержадміністрації</w:t>
      </w:r>
      <w:r>
        <w:rPr>
          <w:sz w:val="28"/>
        </w:rPr>
        <w:tab/>
        <w:t>В.О.Пархоменко</w:t>
      </w:r>
      <w:r>
        <w:rPr>
          <w:sz w:val="28"/>
        </w:rPr>
        <w:tab/>
      </w: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8"/>
        </w:rPr>
        <w:sectPr w:rsidR="00C622A2" w:rsidSect="00C622A2">
          <w:headerReference w:type="even" r:id="rId6"/>
          <w:headerReference w:type="default" r:id="rId7"/>
          <w:pgSz w:w="11907" w:h="16840" w:code="9"/>
          <w:pgMar w:top="709" w:right="567" w:bottom="1134" w:left="1701" w:header="567" w:footer="567" w:gutter="0"/>
          <w:cols w:space="720"/>
          <w:titlePg/>
        </w:sectPr>
      </w:pPr>
    </w:p>
    <w:p w:rsidR="00C622A2" w:rsidRDefault="00C622A2" w:rsidP="00C622A2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Cs/>
          <w:color w:val="000000"/>
          <w:sz w:val="28"/>
          <w:szCs w:val="28"/>
        </w:rPr>
        <w:t>Таблиця 1</w:t>
      </w:r>
    </w:p>
    <w:p w:rsidR="00C622A2" w:rsidRDefault="00C622A2" w:rsidP="00C622A2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до регіональних показників розвитку</w:t>
      </w:r>
    </w:p>
    <w:p w:rsidR="00C622A2" w:rsidRDefault="00C622A2" w:rsidP="00C622A2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житлового будівництва на 2011 рік</w:t>
      </w:r>
    </w:p>
    <w:p w:rsidR="00C622A2" w:rsidRDefault="00C622A2" w:rsidP="00C622A2">
      <w:pPr>
        <w:shd w:val="clear" w:color="auto" w:fill="FFFFFF"/>
        <w:tabs>
          <w:tab w:val="left" w:pos="10206"/>
        </w:tabs>
        <w:jc w:val="both"/>
        <w:rPr>
          <w:bCs/>
          <w:color w:val="000000"/>
          <w:sz w:val="28"/>
          <w:szCs w:val="28"/>
        </w:rPr>
      </w:pPr>
    </w:p>
    <w:p w:rsidR="00C622A2" w:rsidRDefault="00C622A2" w:rsidP="00C622A2">
      <w:pPr>
        <w:shd w:val="clear" w:color="auto" w:fill="FFFFFF"/>
        <w:tabs>
          <w:tab w:val="left" w:pos="10206"/>
        </w:tabs>
        <w:jc w:val="both"/>
        <w:rPr>
          <w:bCs/>
          <w:color w:val="000000"/>
          <w:sz w:val="28"/>
          <w:szCs w:val="28"/>
        </w:rPr>
      </w:pPr>
    </w:p>
    <w:p w:rsidR="00C622A2" w:rsidRDefault="00C622A2" w:rsidP="00C622A2">
      <w:pPr>
        <w:shd w:val="clear" w:color="auto" w:fill="FFFFFF"/>
        <w:tabs>
          <w:tab w:val="left" w:pos="709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Регіональні п</w:t>
      </w:r>
      <w:r w:rsidRPr="006C1BBC">
        <w:rPr>
          <w:bCs/>
          <w:color w:val="000000"/>
          <w:sz w:val="28"/>
          <w:szCs w:val="28"/>
        </w:rPr>
        <w:t>оказники обсягів введення в експлуатацію житла на 20</w:t>
      </w:r>
      <w:r>
        <w:rPr>
          <w:bCs/>
          <w:color w:val="000000"/>
          <w:sz w:val="28"/>
          <w:szCs w:val="28"/>
        </w:rPr>
        <w:t>11</w:t>
      </w:r>
      <w:r w:rsidRPr="006C1BBC">
        <w:rPr>
          <w:bCs/>
          <w:color w:val="000000"/>
          <w:sz w:val="28"/>
          <w:szCs w:val="28"/>
        </w:rPr>
        <w:t xml:space="preserve"> рік за джерелами фінансування</w:t>
      </w:r>
    </w:p>
    <w:p w:rsidR="00C622A2" w:rsidRPr="006C1BBC" w:rsidRDefault="00C622A2" w:rsidP="00C622A2">
      <w:pPr>
        <w:shd w:val="clear" w:color="auto" w:fill="FFFFFF"/>
        <w:tabs>
          <w:tab w:val="left" w:pos="709"/>
        </w:tabs>
        <w:jc w:val="center"/>
        <w:rPr>
          <w:bCs/>
          <w:color w:val="000000"/>
          <w:sz w:val="28"/>
          <w:szCs w:val="28"/>
        </w:rPr>
      </w:pPr>
    </w:p>
    <w:p w:rsidR="00C622A2" w:rsidRDefault="00C622A2" w:rsidP="00C622A2">
      <w:pPr>
        <w:shd w:val="clear" w:color="auto" w:fill="FFFFFF"/>
        <w:ind w:left="240"/>
        <w:jc w:val="both"/>
        <w:rPr>
          <w:bCs/>
          <w:color w:val="000000"/>
          <w:sz w:val="28"/>
          <w:szCs w:val="28"/>
        </w:rPr>
      </w:pPr>
      <w:r w:rsidRPr="006C1BB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( тис. кв. метрів )</w:t>
      </w:r>
      <w:r>
        <w:rPr>
          <w:bCs/>
          <w:color w:val="000000"/>
          <w:sz w:val="28"/>
          <w:szCs w:val="28"/>
        </w:rPr>
        <w:tab/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134"/>
        <w:gridCol w:w="1275"/>
        <w:gridCol w:w="993"/>
        <w:gridCol w:w="1275"/>
        <w:gridCol w:w="2168"/>
        <w:gridCol w:w="1376"/>
        <w:gridCol w:w="1854"/>
        <w:gridCol w:w="1406"/>
      </w:tblGrid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39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w w:val="109"/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w w:val="109"/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2" w:rsidRDefault="00C622A2" w:rsidP="00C622A2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тому числі за рахунок коштів: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2" w:rsidRDefault="00C622A2" w:rsidP="00C622A2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Із </w:t>
            </w:r>
            <w:proofErr w:type="spellStart"/>
            <w:r>
              <w:rPr>
                <w:sz w:val="28"/>
                <w:szCs w:val="28"/>
              </w:rPr>
              <w:t>загаль-ного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обся-гу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обся-ги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ура-хування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тимч</w:t>
            </w:r>
            <w:proofErr w:type="spellEnd"/>
            <w:r>
              <w:rPr>
                <w:sz w:val="28"/>
                <w:szCs w:val="28"/>
              </w:rPr>
              <w:t xml:space="preserve">. порядку 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Державного бюджету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Місцевих бюджетів</w:t>
            </w:r>
          </w:p>
        </w:tc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Позабюджетних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на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іпотечне та</w:t>
            </w:r>
            <w:r>
              <w:rPr>
                <w:sz w:val="28"/>
                <w:szCs w:val="28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види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кредитування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Населення</w:t>
            </w:r>
          </w:p>
        </w:tc>
        <w:tc>
          <w:tcPr>
            <w:tcW w:w="18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Підприємств,</w:t>
            </w:r>
            <w:r>
              <w:rPr>
                <w:sz w:val="28"/>
                <w:szCs w:val="28"/>
              </w:rPr>
              <w:t xml:space="preserve"> установ та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організацій</w:t>
            </w: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т.ч.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т.ч.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кредиту-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кредиту-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рік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139,1 */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151,9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trHeight w:hRule="exact" w:val="17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Питома вага до загального обсягу введення житла за рахунок усіх джерел фінансування,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61,6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до 2010 року,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3,3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1,9 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1,8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1,5 р.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151,2</w:t>
            </w:r>
          </w:p>
        </w:tc>
      </w:tr>
    </w:tbl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sz w:val="24"/>
          <w:szCs w:val="24"/>
        </w:rPr>
      </w:pPr>
    </w:p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sz w:val="24"/>
          <w:szCs w:val="24"/>
        </w:rPr>
      </w:pPr>
      <w:r>
        <w:rPr>
          <w:sz w:val="28"/>
          <w:szCs w:val="28"/>
        </w:rPr>
        <w:t>*/ без врахування введеного в експлуатацію житла індивідуальними забудовниками за кредитною програмою „Власний дім”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sz w:val="24"/>
          <w:szCs w:val="24"/>
        </w:rPr>
      </w:pPr>
    </w:p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sz w:val="24"/>
          <w:szCs w:val="24"/>
        </w:rPr>
      </w:pPr>
    </w:p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ab/>
      </w:r>
      <w:r>
        <w:rPr>
          <w:bCs/>
          <w:color w:val="000000"/>
          <w:sz w:val="28"/>
          <w:szCs w:val="28"/>
        </w:rPr>
        <w:t>Таблиця 2</w:t>
      </w:r>
    </w:p>
    <w:p w:rsidR="00C622A2" w:rsidRDefault="00C622A2" w:rsidP="00C622A2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до регіональних показників розвитку</w:t>
      </w:r>
    </w:p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житлового будівництва на 2011 рік</w:t>
      </w:r>
    </w:p>
    <w:p w:rsidR="00C622A2" w:rsidRDefault="00C622A2" w:rsidP="00C622A2">
      <w:pPr>
        <w:shd w:val="clear" w:color="auto" w:fill="FFFFFF"/>
        <w:tabs>
          <w:tab w:val="left" w:pos="9356"/>
        </w:tabs>
        <w:ind w:left="2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</w:p>
    <w:p w:rsidR="00C622A2" w:rsidRPr="006C1BBC" w:rsidRDefault="00C622A2" w:rsidP="00C622A2">
      <w:pPr>
        <w:ind w:left="720" w:firstLine="72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Регіональні п</w:t>
      </w:r>
      <w:r w:rsidRPr="006C1BBC">
        <w:rPr>
          <w:bCs/>
          <w:color w:val="000000"/>
          <w:sz w:val="28"/>
          <w:szCs w:val="28"/>
        </w:rPr>
        <w:t>оказники обсягів</w:t>
      </w:r>
      <w:r>
        <w:rPr>
          <w:bCs/>
          <w:color w:val="000000"/>
          <w:sz w:val="28"/>
          <w:szCs w:val="28"/>
        </w:rPr>
        <w:t xml:space="preserve"> </w:t>
      </w:r>
      <w:r w:rsidRPr="006C1BBC">
        <w:rPr>
          <w:bCs/>
          <w:color w:val="000000"/>
          <w:sz w:val="28"/>
          <w:szCs w:val="28"/>
        </w:rPr>
        <w:t>введення в експлуатацію житла на 20</w:t>
      </w:r>
      <w:r>
        <w:rPr>
          <w:bCs/>
          <w:color w:val="000000"/>
          <w:sz w:val="28"/>
          <w:szCs w:val="28"/>
        </w:rPr>
        <w:t>11</w:t>
      </w:r>
      <w:r w:rsidRPr="006C1BBC">
        <w:rPr>
          <w:bCs/>
          <w:color w:val="000000"/>
          <w:sz w:val="28"/>
          <w:szCs w:val="28"/>
        </w:rPr>
        <w:t xml:space="preserve"> рік за характером будівництва</w:t>
      </w:r>
    </w:p>
    <w:p w:rsidR="00C622A2" w:rsidRDefault="00C622A2" w:rsidP="00C622A2">
      <w:pPr>
        <w:tabs>
          <w:tab w:val="left" w:pos="709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( тис. кв. метрів )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418"/>
        <w:gridCol w:w="2835"/>
        <w:gridCol w:w="1984"/>
        <w:gridCol w:w="1559"/>
        <w:gridCol w:w="2410"/>
      </w:tblGrid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jc w:val="center"/>
              <w:rPr>
                <w:sz w:val="28"/>
                <w:szCs w:val="28"/>
              </w:rPr>
            </w:pPr>
          </w:p>
          <w:p w:rsidR="00C622A2" w:rsidRDefault="00C622A2" w:rsidP="00C62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  <w:p w:rsidR="00C622A2" w:rsidRDefault="00C622A2" w:rsidP="00C62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pStyle w:val="Heading1"/>
            </w:pPr>
            <w:r>
              <w:t xml:space="preserve"> За характером будівництва 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ind w:left="91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Нове будівництво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ind w:left="154" w:right="1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Розширення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ind w:left="154" w:right="15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Реконструкція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1840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ind w:left="154" w:right="15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тому числі завершення припинених будівництвом або законсервованих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 реконструкція перших масових серій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рік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 до 2010 року 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C622A2" w:rsidRDefault="00C622A2" w:rsidP="00C622A2">
      <w:pPr>
        <w:pStyle w:val="Heading2"/>
      </w:pPr>
      <w:r>
        <w:tab/>
      </w:r>
    </w:p>
    <w:p w:rsidR="00C622A2" w:rsidRDefault="00C622A2" w:rsidP="00C622A2">
      <w:pPr>
        <w:pStyle w:val="Heading2"/>
      </w:pPr>
      <w:r>
        <w:tab/>
        <w:t>Таблиця 3</w:t>
      </w:r>
    </w:p>
    <w:p w:rsidR="00C622A2" w:rsidRDefault="00C622A2" w:rsidP="00C622A2">
      <w:pPr>
        <w:shd w:val="clear" w:color="auto" w:fill="FFFFFF"/>
        <w:tabs>
          <w:tab w:val="left" w:pos="9356"/>
        </w:tabs>
        <w:jc w:val="both"/>
        <w:rPr>
          <w:bCs/>
          <w:color w:val="000000"/>
          <w:sz w:val="28"/>
          <w:szCs w:val="28"/>
        </w:rPr>
      </w:pPr>
      <w:r>
        <w:tab/>
      </w:r>
      <w:r>
        <w:rPr>
          <w:bCs/>
          <w:color w:val="000000"/>
          <w:sz w:val="28"/>
          <w:szCs w:val="28"/>
        </w:rPr>
        <w:t>до регіональних показників розвитку</w:t>
      </w:r>
    </w:p>
    <w:p w:rsidR="00C622A2" w:rsidRDefault="00C622A2" w:rsidP="00C622A2">
      <w:pPr>
        <w:pStyle w:val="Heading2"/>
      </w:pPr>
      <w:r>
        <w:rPr>
          <w:bCs/>
          <w:color w:val="000000"/>
        </w:rPr>
        <w:tab/>
        <w:t>житлового будівництва на 2011 рік</w:t>
      </w:r>
      <w:r>
        <w:tab/>
      </w:r>
      <w:r>
        <w:tab/>
      </w:r>
      <w:r>
        <w:tab/>
      </w:r>
    </w:p>
    <w:p w:rsidR="00C622A2" w:rsidRDefault="00C622A2" w:rsidP="00C622A2"/>
    <w:p w:rsidR="00C622A2" w:rsidRPr="006C1BBC" w:rsidRDefault="00C622A2" w:rsidP="00C622A2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Регіональні п</w:t>
      </w:r>
      <w:r w:rsidRPr="006C1BBC">
        <w:rPr>
          <w:sz w:val="28"/>
          <w:szCs w:val="28"/>
        </w:rPr>
        <w:t>оказники обсягів</w:t>
      </w:r>
      <w:r>
        <w:rPr>
          <w:sz w:val="28"/>
          <w:szCs w:val="28"/>
        </w:rPr>
        <w:t xml:space="preserve"> </w:t>
      </w:r>
      <w:r w:rsidRPr="006C1BBC">
        <w:rPr>
          <w:sz w:val="28"/>
          <w:szCs w:val="28"/>
        </w:rPr>
        <w:t>введення в експлуатацію житла на 20</w:t>
      </w:r>
      <w:r>
        <w:rPr>
          <w:sz w:val="28"/>
          <w:szCs w:val="28"/>
        </w:rPr>
        <w:t>11</w:t>
      </w:r>
      <w:r w:rsidRPr="006C1BBC">
        <w:rPr>
          <w:sz w:val="28"/>
          <w:szCs w:val="28"/>
        </w:rPr>
        <w:t xml:space="preserve"> рік у містах та сільській місцевості</w:t>
      </w:r>
    </w:p>
    <w:p w:rsidR="00C622A2" w:rsidRDefault="00C622A2" w:rsidP="00C622A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 тис. кв. метрів 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4819"/>
        <w:gridCol w:w="5103"/>
      </w:tblGrid>
      <w:tr w:rsidR="00C622A2">
        <w:trPr>
          <w:cantSplit/>
          <w:trHeight w:val="443"/>
        </w:trPr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 тому числі:</w:t>
            </w:r>
          </w:p>
        </w:tc>
      </w:tr>
      <w:tr w:rsidR="00C622A2">
        <w:trPr>
          <w:cantSplit/>
          <w:trHeight w:val="445"/>
        </w:trPr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 містах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C622A2" w:rsidRDefault="00C622A2" w:rsidP="00C622A2">
            <w:pPr>
              <w:tabs>
                <w:tab w:val="left" w:pos="916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 сільській місцевості</w:t>
            </w:r>
          </w:p>
        </w:tc>
      </w:tr>
      <w:tr w:rsidR="00C622A2">
        <w:trPr>
          <w:trHeight w:val="473"/>
        </w:trPr>
        <w:tc>
          <w:tcPr>
            <w:tcW w:w="3402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2011рік</w:t>
            </w:r>
          </w:p>
        </w:tc>
        <w:tc>
          <w:tcPr>
            <w:tcW w:w="2127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246,4</w:t>
            </w:r>
          </w:p>
        </w:tc>
        <w:tc>
          <w:tcPr>
            <w:tcW w:w="4819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179,3</w:t>
            </w:r>
          </w:p>
        </w:tc>
        <w:tc>
          <w:tcPr>
            <w:tcW w:w="5103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67,1</w:t>
            </w:r>
          </w:p>
        </w:tc>
      </w:tr>
      <w:tr w:rsidR="00C622A2">
        <w:trPr>
          <w:trHeight w:val="453"/>
        </w:trPr>
        <w:tc>
          <w:tcPr>
            <w:tcW w:w="3402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 до 2010 року , %</w:t>
            </w:r>
          </w:p>
        </w:tc>
        <w:tc>
          <w:tcPr>
            <w:tcW w:w="2127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4819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100,3</w:t>
            </w:r>
          </w:p>
        </w:tc>
        <w:tc>
          <w:tcPr>
            <w:tcW w:w="5103" w:type="dxa"/>
            <w:vAlign w:val="center"/>
          </w:tcPr>
          <w:p w:rsidR="00C622A2" w:rsidRDefault="00C622A2" w:rsidP="00C622A2">
            <w:pPr>
              <w:tabs>
                <w:tab w:val="left" w:pos="916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99,4</w:t>
            </w:r>
          </w:p>
        </w:tc>
      </w:tr>
    </w:tbl>
    <w:p w:rsidR="00C622A2" w:rsidRDefault="00C622A2" w:rsidP="00C622A2">
      <w:pPr>
        <w:shd w:val="clear" w:color="auto" w:fill="FFFFFF"/>
        <w:tabs>
          <w:tab w:val="left" w:pos="709"/>
        </w:tabs>
        <w:rPr>
          <w:sz w:val="28"/>
          <w:szCs w:val="28"/>
        </w:rPr>
      </w:pPr>
    </w:p>
    <w:p w:rsidR="00C622A2" w:rsidRDefault="00C622A2" w:rsidP="00C622A2">
      <w:pPr>
        <w:tabs>
          <w:tab w:val="left" w:pos="567"/>
          <w:tab w:val="left" w:pos="6804"/>
        </w:tabs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Таблиця 4</w:t>
      </w:r>
      <w:r>
        <w:rPr>
          <w:sz w:val="24"/>
          <w:szCs w:val="24"/>
        </w:rPr>
        <w:t xml:space="preserve">  </w:t>
      </w:r>
    </w:p>
    <w:p w:rsidR="00C622A2" w:rsidRPr="00A23724" w:rsidRDefault="00C622A2" w:rsidP="00C622A2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ab/>
      </w:r>
      <w:r w:rsidRPr="00A23724">
        <w:rPr>
          <w:bCs/>
          <w:color w:val="000000"/>
          <w:sz w:val="28"/>
          <w:szCs w:val="28"/>
        </w:rPr>
        <w:t>до регіональних показників розвитку</w:t>
      </w:r>
    </w:p>
    <w:p w:rsidR="00C622A2" w:rsidRDefault="00C622A2" w:rsidP="00C622A2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 w:rsidRPr="00A23724">
        <w:rPr>
          <w:bCs/>
          <w:color w:val="000000"/>
          <w:sz w:val="28"/>
          <w:szCs w:val="28"/>
        </w:rPr>
        <w:tab/>
        <w:t>житлового будівництва на 20</w:t>
      </w:r>
      <w:r>
        <w:rPr>
          <w:bCs/>
          <w:color w:val="000000"/>
          <w:sz w:val="28"/>
          <w:szCs w:val="28"/>
        </w:rPr>
        <w:t>11</w:t>
      </w:r>
      <w:r w:rsidRPr="00A23724">
        <w:rPr>
          <w:bCs/>
          <w:color w:val="000000"/>
          <w:sz w:val="28"/>
          <w:szCs w:val="28"/>
        </w:rPr>
        <w:t xml:space="preserve"> рік</w:t>
      </w:r>
    </w:p>
    <w:p w:rsidR="00C622A2" w:rsidRPr="00A23724" w:rsidRDefault="00C622A2" w:rsidP="00C622A2">
      <w:pPr>
        <w:shd w:val="clear" w:color="auto" w:fill="FFFFFF"/>
        <w:tabs>
          <w:tab w:val="left" w:pos="9356"/>
        </w:tabs>
        <w:rPr>
          <w:sz w:val="28"/>
          <w:szCs w:val="28"/>
        </w:rPr>
      </w:pPr>
    </w:p>
    <w:p w:rsidR="00C622A2" w:rsidRPr="006C1BBC" w:rsidRDefault="00C622A2" w:rsidP="00C622A2">
      <w:pPr>
        <w:shd w:val="clear" w:color="auto" w:fill="FFFFFF"/>
        <w:tabs>
          <w:tab w:val="lef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Регіональні </w:t>
      </w:r>
      <w:r w:rsidRPr="006C1BBC">
        <w:rPr>
          <w:sz w:val="28"/>
          <w:szCs w:val="28"/>
        </w:rPr>
        <w:t>показники обсягів введення в експлуатацію житла на 20</w:t>
      </w:r>
      <w:r>
        <w:rPr>
          <w:sz w:val="28"/>
          <w:szCs w:val="28"/>
        </w:rPr>
        <w:t>11</w:t>
      </w:r>
      <w:r w:rsidRPr="006C1BBC">
        <w:rPr>
          <w:sz w:val="28"/>
          <w:szCs w:val="28"/>
        </w:rPr>
        <w:t xml:space="preserve"> рік</w:t>
      </w:r>
    </w:p>
    <w:p w:rsidR="00C622A2" w:rsidRPr="006C1BBC" w:rsidRDefault="00C622A2" w:rsidP="00C622A2">
      <w:pPr>
        <w:shd w:val="clear" w:color="auto" w:fill="FFFFFF"/>
        <w:tabs>
          <w:tab w:val="left" w:pos="10773"/>
        </w:tabs>
        <w:jc w:val="center"/>
        <w:rPr>
          <w:sz w:val="28"/>
          <w:szCs w:val="28"/>
        </w:rPr>
      </w:pPr>
      <w:r w:rsidRPr="006C1BBC">
        <w:rPr>
          <w:sz w:val="28"/>
          <w:szCs w:val="28"/>
        </w:rPr>
        <w:t>за спеціальними державними житловими програмами (за рахунок усіх джерел фінансування)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425"/>
        <w:gridCol w:w="425"/>
        <w:gridCol w:w="567"/>
        <w:gridCol w:w="567"/>
        <w:gridCol w:w="567"/>
        <w:gridCol w:w="567"/>
        <w:gridCol w:w="553"/>
        <w:gridCol w:w="567"/>
        <w:gridCol w:w="440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567"/>
        <w:gridCol w:w="426"/>
        <w:gridCol w:w="567"/>
        <w:gridCol w:w="567"/>
        <w:gridCol w:w="425"/>
      </w:tblGrid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ind w:right="2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Всього за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програ-мами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Pr="006C1BBC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C1BBC">
              <w:rPr>
                <w:sz w:val="22"/>
                <w:szCs w:val="22"/>
              </w:rPr>
              <w:t>тис. кв. метрів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3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тому числі </w:t>
            </w:r>
            <w:r w:rsidRPr="00792AA0">
              <w:rPr>
                <w:color w:val="000000"/>
                <w:sz w:val="22"/>
                <w:szCs w:val="22"/>
              </w:rPr>
              <w:t>(тис. кв. метрів)</w:t>
            </w:r>
            <w:r w:rsidRPr="00792AA0">
              <w:rPr>
                <w:sz w:val="22"/>
                <w:szCs w:val="22"/>
              </w:rPr>
              <w:t xml:space="preserve"> 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val="2101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ind w:right="8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Комплексна програма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забезпечення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ind w:right="13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житлом </w:t>
            </w:r>
            <w:proofErr w:type="spellStart"/>
            <w:r>
              <w:rPr>
                <w:color w:val="000000"/>
                <w:sz w:val="22"/>
                <w:szCs w:val="22"/>
              </w:rPr>
              <w:t>військово-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службовців та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членів їх сімей (постанова КМУ від 29.11.1999 №2166)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ind w:right="15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Програма забезпечення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житлом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військово -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службовців,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ind w:right="17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звільнених у запас або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відставку (постанова КМУ від 29.01.1999 № 114)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ind w:right="1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Державна програма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забезпечення молоді житлом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Регіональна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програма </w:t>
            </w:r>
            <w:proofErr w:type="spellStart"/>
            <w:r>
              <w:rPr>
                <w:color w:val="000000"/>
                <w:sz w:val="22"/>
                <w:szCs w:val="22"/>
              </w:rPr>
              <w:t>індивідуаль-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житлово-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будівництва у сільській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місцевості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 програмою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"Власний дім")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Забезпечення житлом громадян, що постраждали внаслідок </w:t>
            </w:r>
            <w:proofErr w:type="spellStart"/>
            <w:r>
              <w:rPr>
                <w:color w:val="000000"/>
                <w:sz w:val="22"/>
                <w:szCs w:val="22"/>
              </w:rPr>
              <w:t>Чорнобиль-ської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катастрофи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ind w:right="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доступного житла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ind w:right="10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Будів</w:t>
            </w:r>
            <w:r>
              <w:rPr>
                <w:color w:val="000000"/>
                <w:sz w:val="22"/>
                <w:szCs w:val="22"/>
              </w:rPr>
              <w:softHyphen/>
              <w:t>ництво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ind w:right="139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соціального житла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Створення фондів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житла для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ind w:right="34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тимчасо</w:t>
            </w:r>
            <w:r>
              <w:rPr>
                <w:color w:val="000000"/>
                <w:sz w:val="22"/>
                <w:szCs w:val="22"/>
              </w:rPr>
              <w:softHyphen/>
              <w:t>вого</w:t>
            </w:r>
            <w:r>
              <w:rPr>
                <w:sz w:val="22"/>
                <w:szCs w:val="22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проживання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Створення маневреного житлового фонду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Місцевий бюджет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622A2" w:rsidRPr="00C27585" w:rsidRDefault="00C622A2" w:rsidP="00C622A2">
            <w:pPr>
              <w:shd w:val="clear" w:color="auto" w:fill="FFFFFF"/>
              <w:ind w:left="113" w:right="113"/>
              <w:jc w:val="center"/>
              <w:rPr>
                <w:color w:val="000000"/>
                <w:spacing w:val="-20"/>
                <w:sz w:val="18"/>
                <w:szCs w:val="18"/>
              </w:rPr>
            </w:pPr>
            <w:r w:rsidRPr="00C27585">
              <w:rPr>
                <w:spacing w:val="-20"/>
                <w:sz w:val="18"/>
                <w:szCs w:val="18"/>
              </w:rPr>
              <w:t>Інші джерела</w:t>
            </w: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1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2011 р. </w:t>
            </w:r>
            <w:r>
              <w:rPr>
                <w:color w:val="000000"/>
                <w:sz w:val="22"/>
                <w:szCs w:val="22"/>
              </w:rPr>
              <w:t xml:space="preserve">Будівництво, </w:t>
            </w:r>
            <w:proofErr w:type="spellStart"/>
            <w:r>
              <w:rPr>
                <w:color w:val="000000"/>
                <w:sz w:val="22"/>
                <w:szCs w:val="22"/>
              </w:rPr>
              <w:t>рекон-струкція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3,16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1,1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*/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</w:tr>
      <w:tr w:rsidR="00C622A2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до 2010 р., %</w:t>
            </w:r>
          </w:p>
          <w:p w:rsidR="00C622A2" w:rsidRDefault="00C622A2" w:rsidP="00C622A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в 2,4 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в 11р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105,3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  <w: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622A2" w:rsidRDefault="00C622A2" w:rsidP="00C622A2">
            <w:pPr>
              <w:shd w:val="clear" w:color="auto" w:fill="FFFFFF"/>
              <w:ind w:left="113" w:right="113"/>
              <w:jc w:val="center"/>
            </w:pPr>
          </w:p>
        </w:tc>
      </w:tr>
    </w:tbl>
    <w:p w:rsidR="00C622A2" w:rsidRDefault="00C622A2" w:rsidP="00C622A2">
      <w:pPr>
        <w:shd w:val="clear" w:color="auto" w:fill="FFFFFF"/>
        <w:tabs>
          <w:tab w:val="left" w:pos="8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B23D8">
        <w:rPr>
          <w:sz w:val="24"/>
          <w:szCs w:val="24"/>
        </w:rPr>
        <w:t xml:space="preserve"> </w:t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 w:rsidRPr="00DB23D8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22A2" w:rsidRPr="00D67F15" w:rsidRDefault="00C622A2" w:rsidP="00C622A2">
      <w:pPr>
        <w:shd w:val="clear" w:color="auto" w:fill="FFFFFF"/>
        <w:tabs>
          <w:tab w:val="left" w:pos="88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Pr="00D67F15">
        <w:rPr>
          <w:sz w:val="24"/>
          <w:szCs w:val="24"/>
        </w:rPr>
        <w:t>*/ введення</w:t>
      </w:r>
      <w:r>
        <w:rPr>
          <w:sz w:val="24"/>
          <w:szCs w:val="24"/>
        </w:rPr>
        <w:t xml:space="preserve"> в експлуатацію доступне житло за державної підтримки (30%) враховано в загальній площі інших джерел</w:t>
      </w:r>
      <w:r w:rsidRPr="00D67F15">
        <w:rPr>
          <w:sz w:val="24"/>
          <w:szCs w:val="24"/>
        </w:rPr>
        <w:t xml:space="preserve"> </w:t>
      </w:r>
    </w:p>
    <w:p w:rsidR="00C622A2" w:rsidRDefault="00C622A2" w:rsidP="00C622A2">
      <w:pPr>
        <w:shd w:val="clear" w:color="auto" w:fill="FFFFFF"/>
        <w:tabs>
          <w:tab w:val="left" w:pos="880"/>
        </w:tabs>
        <w:rPr>
          <w:sz w:val="28"/>
          <w:szCs w:val="28"/>
        </w:rPr>
      </w:pPr>
    </w:p>
    <w:p w:rsidR="00C622A2" w:rsidRDefault="00C622A2" w:rsidP="00C622A2">
      <w:pPr>
        <w:shd w:val="clear" w:color="auto" w:fill="FFFFFF"/>
        <w:tabs>
          <w:tab w:val="left" w:pos="880"/>
        </w:tabs>
        <w:rPr>
          <w:sz w:val="28"/>
          <w:szCs w:val="28"/>
        </w:rPr>
      </w:pPr>
    </w:p>
    <w:p w:rsidR="00C622A2" w:rsidRDefault="00C622A2" w:rsidP="00C622A2">
      <w:pPr>
        <w:shd w:val="clear" w:color="auto" w:fill="FFFFFF"/>
        <w:tabs>
          <w:tab w:val="left" w:pos="880"/>
        </w:tabs>
        <w:rPr>
          <w:sz w:val="28"/>
          <w:szCs w:val="28"/>
        </w:rPr>
      </w:pPr>
    </w:p>
    <w:p w:rsidR="00C622A2" w:rsidRDefault="00C622A2" w:rsidP="00C622A2">
      <w:pPr>
        <w:shd w:val="clear" w:color="auto" w:fill="FFFFFF"/>
        <w:tabs>
          <w:tab w:val="left" w:pos="8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Таблиця 5</w:t>
      </w:r>
    </w:p>
    <w:p w:rsidR="00C622A2" w:rsidRPr="00A23724" w:rsidRDefault="00C622A2" w:rsidP="00C622A2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3724">
        <w:rPr>
          <w:bCs/>
          <w:color w:val="000000"/>
          <w:sz w:val="28"/>
          <w:szCs w:val="28"/>
        </w:rPr>
        <w:t>до регіональних показників розвитку</w:t>
      </w:r>
    </w:p>
    <w:p w:rsidR="00C622A2" w:rsidRDefault="00C622A2" w:rsidP="00C622A2">
      <w:pPr>
        <w:shd w:val="clear" w:color="auto" w:fill="FFFFFF"/>
        <w:tabs>
          <w:tab w:val="left" w:pos="9356"/>
        </w:tabs>
        <w:rPr>
          <w:bCs/>
          <w:color w:val="000000"/>
          <w:sz w:val="28"/>
          <w:szCs w:val="28"/>
        </w:rPr>
      </w:pPr>
      <w:r w:rsidRPr="00A23724">
        <w:rPr>
          <w:bCs/>
          <w:color w:val="000000"/>
          <w:sz w:val="28"/>
          <w:szCs w:val="28"/>
        </w:rPr>
        <w:tab/>
        <w:t>житлового будівництва на 20</w:t>
      </w:r>
      <w:r>
        <w:rPr>
          <w:bCs/>
          <w:color w:val="000000"/>
          <w:sz w:val="28"/>
          <w:szCs w:val="28"/>
        </w:rPr>
        <w:t>11</w:t>
      </w:r>
      <w:r w:rsidRPr="00A23724">
        <w:rPr>
          <w:bCs/>
          <w:color w:val="000000"/>
          <w:sz w:val="28"/>
          <w:szCs w:val="28"/>
        </w:rPr>
        <w:t xml:space="preserve"> рік</w:t>
      </w:r>
    </w:p>
    <w:p w:rsidR="00C622A2" w:rsidRDefault="00C622A2" w:rsidP="00C622A2">
      <w:pPr>
        <w:shd w:val="clear" w:color="auto" w:fill="FFFFFF"/>
        <w:tabs>
          <w:tab w:val="left" w:pos="880"/>
          <w:tab w:val="left" w:pos="9356"/>
        </w:tabs>
        <w:rPr>
          <w:sz w:val="28"/>
          <w:szCs w:val="28"/>
        </w:rPr>
      </w:pPr>
    </w:p>
    <w:p w:rsidR="00C622A2" w:rsidRPr="00792AA0" w:rsidRDefault="00C622A2" w:rsidP="00C622A2">
      <w:pPr>
        <w:shd w:val="clear" w:color="auto" w:fill="FFFFFF"/>
        <w:tabs>
          <w:tab w:val="left" w:pos="880"/>
        </w:tabs>
        <w:jc w:val="center"/>
        <w:rPr>
          <w:sz w:val="28"/>
          <w:szCs w:val="28"/>
        </w:rPr>
      </w:pPr>
      <w:r w:rsidRPr="00792AA0">
        <w:rPr>
          <w:sz w:val="28"/>
          <w:szCs w:val="28"/>
        </w:rPr>
        <w:t>Інформація</w:t>
      </w:r>
    </w:p>
    <w:p w:rsidR="00C622A2" w:rsidRPr="00792AA0" w:rsidRDefault="00C622A2" w:rsidP="00C622A2">
      <w:pPr>
        <w:shd w:val="clear" w:color="auto" w:fill="FFFFFF"/>
        <w:tabs>
          <w:tab w:val="left" w:pos="8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AA0">
        <w:rPr>
          <w:sz w:val="28"/>
          <w:szCs w:val="28"/>
        </w:rPr>
        <w:t>щодо діючих у 20</w:t>
      </w:r>
      <w:r>
        <w:rPr>
          <w:sz w:val="28"/>
          <w:szCs w:val="28"/>
        </w:rPr>
        <w:t>11</w:t>
      </w:r>
      <w:r w:rsidRPr="00792AA0">
        <w:rPr>
          <w:sz w:val="28"/>
          <w:szCs w:val="28"/>
        </w:rPr>
        <w:t xml:space="preserve"> році спеціальних регіональних житлових програм</w:t>
      </w:r>
      <w:r>
        <w:rPr>
          <w:sz w:val="28"/>
          <w:szCs w:val="28"/>
        </w:rPr>
        <w:t xml:space="preserve"> в області</w:t>
      </w:r>
      <w:r w:rsidRPr="00792AA0">
        <w:rPr>
          <w:sz w:val="28"/>
          <w:szCs w:val="28"/>
        </w:rPr>
        <w:tab/>
      </w:r>
      <w:r w:rsidRPr="00792AA0">
        <w:rPr>
          <w:sz w:val="28"/>
          <w:szCs w:val="28"/>
        </w:rPr>
        <w:tab/>
      </w:r>
      <w:r w:rsidRPr="00792AA0">
        <w:rPr>
          <w:sz w:val="28"/>
          <w:szCs w:val="28"/>
        </w:rPr>
        <w:tab/>
      </w:r>
      <w:r w:rsidRPr="00792AA0">
        <w:rPr>
          <w:sz w:val="28"/>
          <w:szCs w:val="28"/>
        </w:rPr>
        <w:tab/>
      </w:r>
      <w:r w:rsidRPr="00792AA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tbl>
      <w:tblPr>
        <w:tblW w:w="15984" w:type="dxa"/>
        <w:tblLayout w:type="fixed"/>
        <w:tblLook w:val="01E0" w:firstRow="1" w:lastRow="1" w:firstColumn="1" w:lastColumn="1" w:noHBand="0" w:noVBand="0"/>
      </w:tblPr>
      <w:tblGrid>
        <w:gridCol w:w="665"/>
        <w:gridCol w:w="2274"/>
        <w:gridCol w:w="1116"/>
        <w:gridCol w:w="18"/>
        <w:gridCol w:w="851"/>
        <w:gridCol w:w="1220"/>
        <w:gridCol w:w="1182"/>
        <w:gridCol w:w="12"/>
        <w:gridCol w:w="1074"/>
        <w:gridCol w:w="1277"/>
        <w:gridCol w:w="1189"/>
        <w:gridCol w:w="1371"/>
        <w:gridCol w:w="1278"/>
        <w:gridCol w:w="1276"/>
        <w:gridCol w:w="36"/>
        <w:gridCol w:w="11"/>
        <w:gridCol w:w="1134"/>
      </w:tblGrid>
      <w:tr w:rsidR="00C622A2">
        <w:tc>
          <w:tcPr>
            <w:tcW w:w="665" w:type="dxa"/>
            <w:vMerge w:val="restart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п/п</w:t>
            </w:r>
            <w:proofErr w:type="spellEnd"/>
          </w:p>
        </w:tc>
        <w:tc>
          <w:tcPr>
            <w:tcW w:w="2274" w:type="dxa"/>
            <w:vMerge w:val="restart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програми</w:t>
            </w:r>
          </w:p>
        </w:tc>
        <w:tc>
          <w:tcPr>
            <w:tcW w:w="1134" w:type="dxa"/>
            <w:gridSpan w:val="2"/>
            <w:vMerge w:val="restart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та рішення про </w:t>
            </w:r>
            <w:proofErr w:type="spellStart"/>
            <w:r>
              <w:rPr>
                <w:sz w:val="24"/>
                <w:szCs w:val="24"/>
              </w:rPr>
              <w:t>затверд-ження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програ-ми</w:t>
            </w:r>
            <w:proofErr w:type="spellEnd"/>
          </w:p>
        </w:tc>
        <w:tc>
          <w:tcPr>
            <w:tcW w:w="851" w:type="dxa"/>
            <w:vMerge w:val="restart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Тер-мін</w:t>
            </w:r>
            <w:proofErr w:type="spellEnd"/>
            <w:r>
              <w:rPr>
                <w:sz w:val="24"/>
                <w:szCs w:val="24"/>
              </w:rPr>
              <w:t xml:space="preserve"> дії </w:t>
            </w:r>
            <w:proofErr w:type="spellStart"/>
            <w:r>
              <w:rPr>
                <w:sz w:val="24"/>
                <w:szCs w:val="24"/>
              </w:rPr>
              <w:t>прог-рами</w:t>
            </w:r>
            <w:proofErr w:type="spellEnd"/>
          </w:p>
        </w:tc>
        <w:tc>
          <w:tcPr>
            <w:tcW w:w="1220" w:type="dxa"/>
            <w:vMerge w:val="restart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Планові обсяги фінансування на період дії </w:t>
            </w:r>
            <w:proofErr w:type="spellStart"/>
            <w:r>
              <w:rPr>
                <w:sz w:val="24"/>
                <w:szCs w:val="24"/>
              </w:rPr>
              <w:t>прог-рами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3C4058">
              <w:rPr>
                <w:sz w:val="24"/>
                <w:szCs w:val="24"/>
                <w:u w:val="single"/>
              </w:rPr>
              <w:t>тис.кв</w:t>
            </w:r>
            <w:r w:rsidRPr="00991842">
              <w:rPr>
                <w:sz w:val="24"/>
                <w:szCs w:val="24"/>
                <w:u w:val="single"/>
              </w:rPr>
              <w:t>.м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734" w:type="dxa"/>
            <w:gridSpan w:val="5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програми по роках (за період дії програми)</w:t>
            </w:r>
          </w:p>
        </w:tc>
        <w:tc>
          <w:tcPr>
            <w:tcW w:w="264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Планові показники</w:t>
            </w:r>
          </w:p>
        </w:tc>
        <w:tc>
          <w:tcPr>
            <w:tcW w:w="2457" w:type="dxa"/>
            <w:gridSpan w:val="4"/>
            <w:vMerge w:val="restart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 дії програми</w:t>
            </w:r>
          </w:p>
        </w:tc>
      </w:tr>
      <w:tr w:rsidR="00C622A2">
        <w:tc>
          <w:tcPr>
            <w:tcW w:w="665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6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64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457" w:type="dxa"/>
            <w:gridSpan w:val="4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</w:tr>
      <w:tr w:rsidR="00C622A2">
        <w:tc>
          <w:tcPr>
            <w:tcW w:w="665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Фінансу-вання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Отримання житла,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2EB4">
              <w:rPr>
                <w:sz w:val="24"/>
                <w:szCs w:val="24"/>
                <w:u w:val="single"/>
              </w:rPr>
              <w:t>тис.кв.м</w:t>
            </w:r>
            <w:proofErr w:type="spellEnd"/>
            <w:r>
              <w:rPr>
                <w:sz w:val="24"/>
                <w:szCs w:val="24"/>
              </w:rPr>
              <w:t xml:space="preserve"> квартир</w:t>
            </w: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Фінансу-вання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Отрима-ння</w:t>
            </w:r>
            <w:proofErr w:type="spellEnd"/>
            <w:r>
              <w:rPr>
                <w:sz w:val="24"/>
                <w:szCs w:val="24"/>
              </w:rPr>
              <w:t xml:space="preserve"> житла,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2EB4">
              <w:rPr>
                <w:sz w:val="24"/>
                <w:szCs w:val="24"/>
                <w:u w:val="single"/>
              </w:rPr>
              <w:t>тис.кв.м</w:t>
            </w:r>
            <w:proofErr w:type="spellEnd"/>
            <w:r>
              <w:rPr>
                <w:sz w:val="24"/>
                <w:szCs w:val="24"/>
              </w:rPr>
              <w:t xml:space="preserve"> квартир</w:t>
            </w: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Фінансу-вання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Отриман-ня</w:t>
            </w:r>
            <w:proofErr w:type="spellEnd"/>
            <w:r>
              <w:rPr>
                <w:sz w:val="24"/>
                <w:szCs w:val="24"/>
              </w:rPr>
              <w:t xml:space="preserve"> житла,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E2EB4">
              <w:rPr>
                <w:sz w:val="24"/>
                <w:szCs w:val="24"/>
                <w:u w:val="single"/>
              </w:rPr>
              <w:t>тис.кв.м</w:t>
            </w:r>
            <w:proofErr w:type="spellEnd"/>
            <w:r>
              <w:rPr>
                <w:sz w:val="24"/>
                <w:szCs w:val="24"/>
              </w:rPr>
              <w:t xml:space="preserve"> квартир</w:t>
            </w:r>
          </w:p>
        </w:tc>
        <w:tc>
          <w:tcPr>
            <w:tcW w:w="1323" w:type="dxa"/>
            <w:gridSpan w:val="3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Профінан-совано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Отрима-но</w:t>
            </w:r>
            <w:proofErr w:type="spellEnd"/>
            <w:r>
              <w:rPr>
                <w:sz w:val="24"/>
                <w:szCs w:val="24"/>
              </w:rPr>
              <w:t xml:space="preserve"> житла всього, </w:t>
            </w:r>
            <w:proofErr w:type="spellStart"/>
            <w:r w:rsidRPr="002C3EC1">
              <w:rPr>
                <w:sz w:val="24"/>
                <w:szCs w:val="24"/>
                <w:u w:val="single"/>
              </w:rPr>
              <w:t>тис.кв.м</w:t>
            </w:r>
            <w:proofErr w:type="spellEnd"/>
            <w:r w:rsidRPr="002C3EC1">
              <w:rPr>
                <w:sz w:val="24"/>
                <w:szCs w:val="24"/>
                <w:u w:val="single"/>
              </w:rPr>
              <w:t>.</w:t>
            </w:r>
          </w:p>
          <w:p w:rsidR="00C622A2" w:rsidRPr="002C3EC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</w:p>
        </w:tc>
      </w:tr>
      <w:tr w:rsidR="00C622A2"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C622A2" w:rsidRPr="008A0CAC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8A0CAC">
              <w:rPr>
                <w:sz w:val="24"/>
                <w:szCs w:val="24"/>
              </w:rPr>
              <w:t>6</w:t>
            </w:r>
          </w:p>
        </w:tc>
        <w:tc>
          <w:tcPr>
            <w:tcW w:w="1086" w:type="dxa"/>
            <w:gridSpan w:val="2"/>
          </w:tcPr>
          <w:p w:rsidR="00C622A2" w:rsidRPr="008A0CAC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2" w:type="dxa"/>
            <w:gridSpan w:val="2"/>
          </w:tcPr>
          <w:p w:rsidR="00C622A2" w:rsidRPr="008A0CAC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5" w:type="dxa"/>
            <w:gridSpan w:val="2"/>
          </w:tcPr>
          <w:p w:rsidR="00C622A2" w:rsidRPr="008A0CAC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622A2"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274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220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94" w:type="dxa"/>
            <w:gridSpan w:val="2"/>
          </w:tcPr>
          <w:p w:rsidR="00C622A2" w:rsidRPr="007538E3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C622A2" w:rsidRPr="007538E3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</w:tcPr>
          <w:p w:rsidR="00C622A2" w:rsidRPr="004018D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 роки</w:t>
            </w:r>
          </w:p>
        </w:tc>
      </w:tr>
      <w:tr w:rsidR="00C622A2"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74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„Про обласну цільову Програму підтримки </w:t>
            </w:r>
            <w:proofErr w:type="spellStart"/>
            <w:r>
              <w:rPr>
                <w:sz w:val="24"/>
                <w:szCs w:val="24"/>
              </w:rPr>
              <w:t>кредиту-вання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індивідуа-льного</w:t>
            </w:r>
            <w:proofErr w:type="spellEnd"/>
            <w:r>
              <w:rPr>
                <w:sz w:val="24"/>
                <w:szCs w:val="24"/>
              </w:rPr>
              <w:t xml:space="preserve"> житлового будівництва на селі у Полтавській </w:t>
            </w:r>
            <w:proofErr w:type="spellStart"/>
            <w:r>
              <w:rPr>
                <w:sz w:val="24"/>
                <w:szCs w:val="24"/>
              </w:rPr>
              <w:t>обла-сті</w:t>
            </w:r>
            <w:proofErr w:type="spellEnd"/>
            <w:r>
              <w:rPr>
                <w:sz w:val="24"/>
                <w:szCs w:val="24"/>
              </w:rPr>
              <w:t xml:space="preserve"> „Власний дім” на 2009-2011 роки”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будівництво, </w:t>
            </w:r>
            <w:proofErr w:type="spellStart"/>
            <w:r>
              <w:rPr>
                <w:sz w:val="24"/>
                <w:szCs w:val="24"/>
              </w:rPr>
              <w:t>ре-конструкція</w:t>
            </w:r>
            <w:proofErr w:type="spellEnd"/>
            <w:r>
              <w:rPr>
                <w:sz w:val="24"/>
                <w:szCs w:val="24"/>
              </w:rPr>
              <w:t xml:space="preserve"> житла та інші витрати;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18 сесії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скли-кання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Полтав-ської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облас-ної</w:t>
            </w:r>
            <w:proofErr w:type="spellEnd"/>
            <w:r>
              <w:rPr>
                <w:sz w:val="24"/>
                <w:szCs w:val="24"/>
              </w:rPr>
              <w:t xml:space="preserve"> ради від 25.11. 2008 </w:t>
            </w: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2009-2011 роки</w:t>
            </w:r>
          </w:p>
        </w:tc>
        <w:tc>
          <w:tcPr>
            <w:tcW w:w="1220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64,66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27,86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36,8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13700</w:t>
            </w: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6175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</w:t>
            </w:r>
          </w:p>
        </w:tc>
        <w:tc>
          <w:tcPr>
            <w:tcW w:w="108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9,32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5,82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3,5</w:t>
            </w:r>
          </w:p>
          <w:p w:rsidR="00C622A2" w:rsidRPr="007538E3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буд.</w:t>
            </w: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3233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</w:t>
            </w: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5,3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4,1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 w:rsidRPr="004018D2">
              <w:rPr>
                <w:sz w:val="24"/>
                <w:szCs w:val="24"/>
                <w:u w:val="single"/>
              </w:rPr>
              <w:t>1,2</w:t>
            </w:r>
          </w:p>
          <w:p w:rsidR="00C622A2" w:rsidRPr="004018D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буд.</w:t>
            </w: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4,5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4,5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Pr="00FA28B5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10521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7033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3488</w:t>
            </w:r>
          </w:p>
        </w:tc>
        <w:tc>
          <w:tcPr>
            <w:tcW w:w="1181" w:type="dxa"/>
            <w:gridSpan w:val="3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14,62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9,92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буд.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4,7</w:t>
            </w:r>
          </w:p>
          <w:p w:rsidR="00C622A2" w:rsidRPr="001A20A4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буд.</w:t>
            </w:r>
          </w:p>
        </w:tc>
      </w:tr>
      <w:tr w:rsidR="00C622A2"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C622A2" w:rsidRPr="001F23C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F23CE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C622A2" w:rsidRPr="001F23C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F23CE"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3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622A2"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C622A2" w:rsidRPr="00325C09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C622A2" w:rsidRPr="00DC0B41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3"/>
          </w:tcPr>
          <w:p w:rsidR="00C622A2" w:rsidRPr="00792AA0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2000-200</w:t>
            </w:r>
            <w:r>
              <w:rPr>
                <w:sz w:val="24"/>
                <w:szCs w:val="24"/>
              </w:rPr>
              <w:t>9</w:t>
            </w:r>
            <w:r w:rsidRPr="00792AA0">
              <w:rPr>
                <w:sz w:val="24"/>
                <w:szCs w:val="24"/>
              </w:rPr>
              <w:t>роки</w:t>
            </w:r>
          </w:p>
        </w:tc>
        <w:tc>
          <w:tcPr>
            <w:tcW w:w="1277" w:type="dxa"/>
          </w:tcPr>
          <w:p w:rsidR="00C622A2" w:rsidRPr="00792AA0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C622A2" w:rsidRPr="00792AA0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C622A2" w:rsidRPr="00792AA0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622A2" w:rsidRPr="00792AA0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4"/>
          </w:tcPr>
          <w:p w:rsidR="00C622A2" w:rsidRPr="00792AA0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92AA0">
              <w:rPr>
                <w:sz w:val="24"/>
                <w:szCs w:val="24"/>
              </w:rPr>
              <w:t>2000-20</w:t>
            </w:r>
            <w:r>
              <w:rPr>
                <w:sz w:val="24"/>
                <w:szCs w:val="24"/>
              </w:rPr>
              <w:t>10</w:t>
            </w:r>
            <w:r w:rsidRPr="00792AA0">
              <w:rPr>
                <w:sz w:val="24"/>
                <w:szCs w:val="24"/>
              </w:rPr>
              <w:t xml:space="preserve"> роки</w:t>
            </w:r>
          </w:p>
        </w:tc>
      </w:tr>
      <w:tr w:rsidR="00C622A2"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74" w:type="dxa"/>
          </w:tcPr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 Програма </w:t>
            </w:r>
            <w:proofErr w:type="spellStart"/>
            <w:r>
              <w:rPr>
                <w:sz w:val="24"/>
                <w:szCs w:val="24"/>
              </w:rPr>
              <w:t>розвит-ку</w:t>
            </w:r>
            <w:proofErr w:type="spellEnd"/>
            <w:r>
              <w:rPr>
                <w:sz w:val="24"/>
                <w:szCs w:val="24"/>
              </w:rPr>
              <w:t xml:space="preserve"> молодіжного житлового </w:t>
            </w:r>
            <w:proofErr w:type="spellStart"/>
            <w:r>
              <w:rPr>
                <w:sz w:val="24"/>
                <w:szCs w:val="24"/>
              </w:rPr>
              <w:t>будівни-цтва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Полтавсь-кій</w:t>
            </w:r>
            <w:proofErr w:type="spellEnd"/>
            <w:r>
              <w:rPr>
                <w:sz w:val="24"/>
                <w:szCs w:val="24"/>
              </w:rPr>
              <w:t xml:space="preserve"> області на 2000 - 2010 роки”</w:t>
            </w: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 :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будівництво, реконструкція житла;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придбання житла на вторинному ринку</w:t>
            </w: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Pr="00325C09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C622A2" w:rsidRPr="00325C09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10 сесії ХХІІІ скликання </w:t>
            </w:r>
            <w:proofErr w:type="spellStart"/>
            <w:r>
              <w:rPr>
                <w:sz w:val="24"/>
                <w:szCs w:val="24"/>
              </w:rPr>
              <w:t>Пол-тавської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облас-ної</w:t>
            </w:r>
            <w:proofErr w:type="spellEnd"/>
            <w:r>
              <w:rPr>
                <w:sz w:val="24"/>
                <w:szCs w:val="24"/>
              </w:rPr>
              <w:t xml:space="preserve"> ради від 02.12. 1999 </w:t>
            </w: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2000-2010</w:t>
            </w:r>
          </w:p>
          <w:p w:rsidR="00C622A2" w:rsidRPr="00325C09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</w:tc>
        <w:tc>
          <w:tcPr>
            <w:tcW w:w="1220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 w:rsidRPr="00DC0B41">
              <w:rPr>
                <w:sz w:val="24"/>
                <w:szCs w:val="24"/>
                <w:u w:val="single"/>
              </w:rPr>
              <w:t>202,244</w:t>
            </w:r>
          </w:p>
          <w:p w:rsidR="00C622A2" w:rsidRPr="00DC0B4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149474</w:t>
            </w: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47193,8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41470,0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Pr="00325C09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5723,8</w:t>
            </w:r>
          </w:p>
        </w:tc>
        <w:tc>
          <w:tcPr>
            <w:tcW w:w="108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32,51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29,9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 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2,61</w:t>
            </w:r>
          </w:p>
          <w:p w:rsidR="00C622A2" w:rsidRPr="00DC0B4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кв.</w:t>
            </w: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2332,8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2251,1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  <w:p w:rsidR="00C622A2" w:rsidRPr="00325C09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0,17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кв.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Pr="00042C67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0,1</w:t>
            </w:r>
          </w:p>
          <w:p w:rsidR="00C622A2" w:rsidRPr="00042C67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кв.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0,07</w:t>
            </w:r>
          </w:p>
          <w:p w:rsidR="00C622A2" w:rsidRPr="00DC0B4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кв.</w:t>
            </w: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Pr="00325C09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4,6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4,6</w:t>
            </w:r>
          </w:p>
          <w:p w:rsidR="00C622A2" w:rsidRPr="00682B2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</w:t>
            </w:r>
          </w:p>
        </w:tc>
        <w:tc>
          <w:tcPr>
            <w:tcW w:w="1276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49526,6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43721,1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Pr="00325C09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5805,5</w:t>
            </w:r>
          </w:p>
        </w:tc>
        <w:tc>
          <w:tcPr>
            <w:tcW w:w="1181" w:type="dxa"/>
            <w:gridSpan w:val="3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32,68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564 кв.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30,0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 кв.</w:t>
            </w:r>
          </w:p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2,68</w:t>
            </w:r>
          </w:p>
          <w:p w:rsidR="00C622A2" w:rsidRPr="00DC0B4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кв.</w:t>
            </w:r>
          </w:p>
        </w:tc>
      </w:tr>
      <w:tr w:rsidR="00C622A2">
        <w:trPr>
          <w:trHeight w:val="90"/>
        </w:trPr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622A2" w:rsidRDefault="00C622A2" w:rsidP="00C622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C622A2" w:rsidRPr="00165E7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6" w:type="dxa"/>
            <w:gridSpan w:val="2"/>
          </w:tcPr>
          <w:p w:rsidR="00C622A2" w:rsidRPr="00165E7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C622A2" w:rsidRPr="007D2E30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D2E30"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C622A2" w:rsidRPr="00165E7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C622A2" w:rsidRPr="00165E7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3"/>
          </w:tcPr>
          <w:p w:rsidR="00C622A2" w:rsidRPr="007E18E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7E18E1">
              <w:rPr>
                <w:sz w:val="24"/>
                <w:szCs w:val="24"/>
              </w:rPr>
              <w:t>13</w:t>
            </w:r>
          </w:p>
        </w:tc>
      </w:tr>
      <w:tr w:rsidR="00C622A2">
        <w:trPr>
          <w:trHeight w:val="254"/>
        </w:trPr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57" w:type="dxa"/>
            <w:gridSpan w:val="4"/>
          </w:tcPr>
          <w:p w:rsidR="00C622A2" w:rsidRPr="001C0F5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1C0F5E">
              <w:rPr>
                <w:sz w:val="24"/>
                <w:szCs w:val="24"/>
              </w:rPr>
              <w:t>2010</w:t>
            </w:r>
            <w:r>
              <w:rPr>
                <w:sz w:val="24"/>
                <w:szCs w:val="24"/>
              </w:rPr>
              <w:t xml:space="preserve"> рік</w:t>
            </w:r>
          </w:p>
        </w:tc>
      </w:tr>
      <w:tr w:rsidR="00C622A2">
        <w:trPr>
          <w:trHeight w:val="420"/>
        </w:trPr>
        <w:tc>
          <w:tcPr>
            <w:tcW w:w="665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74" w:type="dxa"/>
          </w:tcPr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„Про обласну цільову Програму будівництва (</w:t>
            </w:r>
            <w:proofErr w:type="spellStart"/>
            <w:r>
              <w:rPr>
                <w:sz w:val="24"/>
                <w:szCs w:val="24"/>
              </w:rPr>
              <w:t>прид-бання</w:t>
            </w:r>
            <w:proofErr w:type="spellEnd"/>
            <w:r>
              <w:rPr>
                <w:sz w:val="24"/>
                <w:szCs w:val="24"/>
              </w:rPr>
              <w:t>) доступного житла на 2010-2017 роки”</w:t>
            </w: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тому числі:</w:t>
            </w: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будівництво, </w:t>
            </w:r>
            <w:proofErr w:type="spellStart"/>
            <w:r>
              <w:rPr>
                <w:sz w:val="24"/>
                <w:szCs w:val="24"/>
              </w:rPr>
              <w:t>ре-конструкція</w:t>
            </w:r>
            <w:proofErr w:type="spellEnd"/>
            <w:r>
              <w:rPr>
                <w:sz w:val="24"/>
                <w:szCs w:val="24"/>
              </w:rPr>
              <w:t xml:space="preserve"> житла;</w:t>
            </w: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</w:p>
          <w:p w:rsidR="00C622A2" w:rsidRDefault="00C622A2" w:rsidP="00C622A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придбання житла на вторинному ринку </w:t>
            </w:r>
          </w:p>
        </w:tc>
        <w:tc>
          <w:tcPr>
            <w:tcW w:w="1116" w:type="dxa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27 сесії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скли</w:t>
            </w:r>
            <w:r w:rsidRPr="007F34DA"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</w:rPr>
              <w:t>кання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Полтав</w:t>
            </w:r>
            <w:proofErr w:type="spellEnd"/>
            <w:r w:rsidRPr="007F34DA">
              <w:rPr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sz w:val="24"/>
                <w:szCs w:val="24"/>
              </w:rPr>
              <w:t>ської</w:t>
            </w:r>
            <w:proofErr w:type="spellEnd"/>
            <w:r>
              <w:rPr>
                <w:sz w:val="24"/>
                <w:szCs w:val="24"/>
              </w:rPr>
              <w:t xml:space="preserve"> обласної ради від 23</w:t>
            </w:r>
            <w:r w:rsidRPr="007F34DA">
              <w:rPr>
                <w:sz w:val="24"/>
                <w:szCs w:val="24"/>
                <w:lang w:val="ru-RU"/>
              </w:rPr>
              <w:t>.06.</w:t>
            </w:r>
            <w:r>
              <w:rPr>
                <w:sz w:val="24"/>
                <w:szCs w:val="24"/>
              </w:rPr>
              <w:t xml:space="preserve"> 2010 </w:t>
            </w:r>
          </w:p>
        </w:tc>
        <w:tc>
          <w:tcPr>
            <w:tcW w:w="869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2010-2017 роки</w:t>
            </w:r>
          </w:p>
        </w:tc>
        <w:tc>
          <w:tcPr>
            <w:tcW w:w="1220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455,939</w:t>
            </w:r>
          </w:p>
          <w:p w:rsidR="00C622A2" w:rsidRPr="00C23041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2294300</w:t>
            </w:r>
          </w:p>
        </w:tc>
        <w:tc>
          <w:tcPr>
            <w:tcW w:w="1182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gridSpan w:val="2"/>
          </w:tcPr>
          <w:p w:rsidR="00C622A2" w:rsidRDefault="00C622A2" w:rsidP="00C622A2">
            <w:pPr>
              <w:tabs>
                <w:tab w:val="left" w:pos="880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1277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11303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11303</w:t>
            </w:r>
          </w:p>
        </w:tc>
        <w:tc>
          <w:tcPr>
            <w:tcW w:w="1189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2,6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 w:rsidRPr="009E2B47">
              <w:rPr>
                <w:sz w:val="24"/>
                <w:szCs w:val="24"/>
                <w:u w:val="single"/>
              </w:rPr>
              <w:t>2,6</w:t>
            </w:r>
          </w:p>
          <w:p w:rsidR="00C622A2" w:rsidRPr="009E2B47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кв.</w:t>
            </w:r>
          </w:p>
        </w:tc>
        <w:tc>
          <w:tcPr>
            <w:tcW w:w="1371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Pr="00165E7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</w:t>
            </w:r>
          </w:p>
        </w:tc>
        <w:tc>
          <w:tcPr>
            <w:tcW w:w="1278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3,9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3,9</w:t>
            </w:r>
          </w:p>
          <w:p w:rsidR="00C622A2" w:rsidRPr="009E2B47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 w:rsidRPr="009E2B47">
              <w:rPr>
                <w:sz w:val="24"/>
                <w:szCs w:val="24"/>
              </w:rPr>
              <w:t>66 кв.</w:t>
            </w:r>
          </w:p>
        </w:tc>
        <w:tc>
          <w:tcPr>
            <w:tcW w:w="1276" w:type="dxa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11303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11303</w:t>
            </w:r>
          </w:p>
        </w:tc>
        <w:tc>
          <w:tcPr>
            <w:tcW w:w="1181" w:type="dxa"/>
            <w:gridSpan w:val="3"/>
          </w:tcPr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2,6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2,6</w:t>
            </w:r>
          </w:p>
          <w:p w:rsidR="00C622A2" w:rsidRPr="001C0F5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кв.</w:t>
            </w:r>
          </w:p>
          <w:p w:rsidR="00C622A2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  <w:p w:rsidR="00C622A2" w:rsidRPr="001C0F5E" w:rsidRDefault="00C622A2" w:rsidP="00C622A2">
            <w:pPr>
              <w:tabs>
                <w:tab w:val="left" w:pos="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622A2" w:rsidRDefault="00C622A2" w:rsidP="00C622A2">
      <w:pPr>
        <w:shd w:val="clear" w:color="auto" w:fill="FFFFFF"/>
        <w:spacing w:before="576"/>
        <w:rPr>
          <w:sz w:val="24"/>
          <w:szCs w:val="24"/>
        </w:rPr>
      </w:pPr>
    </w:p>
    <w:p w:rsidR="00C622A2" w:rsidRDefault="00C622A2" w:rsidP="00C622A2">
      <w:pPr>
        <w:shd w:val="clear" w:color="auto" w:fill="FFFFFF"/>
        <w:spacing w:before="576"/>
        <w:rPr>
          <w:sz w:val="24"/>
          <w:szCs w:val="24"/>
        </w:rPr>
      </w:pPr>
    </w:p>
    <w:p w:rsidR="00C622A2" w:rsidRDefault="00C622A2" w:rsidP="00C622A2">
      <w:pPr>
        <w:shd w:val="clear" w:color="auto" w:fill="FFFFFF"/>
        <w:spacing w:before="576"/>
        <w:rPr>
          <w:sz w:val="24"/>
          <w:szCs w:val="24"/>
        </w:rPr>
      </w:pPr>
    </w:p>
    <w:p w:rsidR="00731B33" w:rsidRDefault="00731B33"/>
    <w:sectPr w:rsidR="00731B33" w:rsidSect="00C622A2">
      <w:pgSz w:w="16840" w:h="11907" w:orient="landscape" w:code="9"/>
      <w:pgMar w:top="1418" w:right="567" w:bottom="567" w:left="56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959CB">
      <w:r>
        <w:separator/>
      </w:r>
    </w:p>
  </w:endnote>
  <w:endnote w:type="continuationSeparator" w:id="0">
    <w:p w:rsidR="00000000" w:rsidRDefault="00F9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959CB">
      <w:r>
        <w:separator/>
      </w:r>
    </w:p>
  </w:footnote>
  <w:footnote w:type="continuationSeparator" w:id="0">
    <w:p w:rsidR="00000000" w:rsidRDefault="00F9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22A2" w:rsidRDefault="00C622A2" w:rsidP="00C622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22A2" w:rsidRDefault="00C62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22A2" w:rsidRPr="00712DF8" w:rsidRDefault="00C622A2" w:rsidP="00C622A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2A2"/>
    <w:rsid w:val="00176FA5"/>
    <w:rsid w:val="00653798"/>
    <w:rsid w:val="00731B33"/>
    <w:rsid w:val="00C622A2"/>
    <w:rsid w:val="00F959C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976B4-77F1-45B1-AAE8-2E3967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2A2"/>
    <w:pPr>
      <w:overflowPunct w:val="0"/>
      <w:autoSpaceDE w:val="0"/>
      <w:autoSpaceDN w:val="0"/>
      <w:adjustRightInd w:val="0"/>
      <w:textAlignment w:val="baseline"/>
    </w:pPr>
    <w:rPr>
      <w:lang w:val="uk-UA" w:eastAsia="ru-RU"/>
    </w:rPr>
  </w:style>
  <w:style w:type="paragraph" w:styleId="Heading1">
    <w:name w:val="heading 1"/>
    <w:basedOn w:val="Normal"/>
    <w:next w:val="Normal"/>
    <w:qFormat/>
    <w:rsid w:val="00C622A2"/>
    <w:pPr>
      <w:keepNext/>
      <w:shd w:val="clear" w:color="auto" w:fill="FFFFFF"/>
      <w:ind w:left="2779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rsid w:val="00C622A2"/>
    <w:pPr>
      <w:keepNext/>
      <w:tabs>
        <w:tab w:val="left" w:pos="9356"/>
      </w:tabs>
      <w:outlineLvl w:val="1"/>
    </w:pPr>
    <w:rPr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"/>
    <w:basedOn w:val="Normal"/>
    <w:link w:val="DefaultParagraphFont"/>
    <w:rsid w:val="00C622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rsid w:val="00C622A2"/>
    <w:pPr>
      <w:shd w:val="clear" w:color="auto" w:fill="FFFFFF"/>
      <w:tabs>
        <w:tab w:val="left" w:pos="709"/>
        <w:tab w:val="left" w:pos="9356"/>
      </w:tabs>
    </w:pPr>
    <w:rPr>
      <w:sz w:val="28"/>
      <w:szCs w:val="28"/>
    </w:rPr>
  </w:style>
  <w:style w:type="character" w:styleId="PageNumber">
    <w:name w:val="page number"/>
    <w:basedOn w:val="DefaultParagraphFont"/>
    <w:rsid w:val="00C622A2"/>
  </w:style>
  <w:style w:type="paragraph" w:styleId="Header">
    <w:name w:val="header"/>
    <w:basedOn w:val="Normal"/>
    <w:rsid w:val="00C622A2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