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B59F0" w14:textId="77777777" w:rsidR="00E4105F" w:rsidRPr="00D36892" w:rsidRDefault="00E4105F" w:rsidP="00E4105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 w:rsidRPr="00D36892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в Україні на період до 2030 року.</w:t>
      </w:r>
    </w:p>
    <w:p w14:paraId="00000002" w14:textId="1E932354" w:rsidR="004E012E" w:rsidRPr="00D36892" w:rsidRDefault="00087667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77.1</w:t>
      </w:r>
      <w:r w:rsidR="00A079C2" w:rsidRPr="00D3689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.н) </w:t>
      </w:r>
      <w:r w:rsidRPr="00D3689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визначення потреб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маломобільних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категорій населення </w:t>
      </w:r>
    </w:p>
    <w:p w14:paraId="0DBF1A2C" w14:textId="775BB67D" w:rsidR="00087667" w:rsidRPr="00D36892" w:rsidRDefault="00087667" w:rsidP="00EB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647A7D7D" w14:textId="2D1E86BD" w:rsidR="00E327E5" w:rsidRPr="00D36892" w:rsidRDefault="00087667" w:rsidP="00EB6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На виконання Плану заходів на 2025 рік з реалізації Національної стратегії із створення безбар’єрного простору в Україні на період до 2030 року, Департаментом соціального захисту населення облвійськадміністрації розроблено опитувальний онлайн лист для пр</w:t>
      </w:r>
      <w:r w:rsidR="00E327E5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ове</w:t>
      </w: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дення анкетування мешканців області, з числа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категорій населення щодо визначення їх потреб та бар'єрних аспектів при взаємодії з громадою, соціальною інфраструктурою тощо.</w:t>
      </w:r>
      <w:r w:rsidR="00E327E5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Опитування розміщено на порталі ОВА </w:t>
      </w:r>
      <w:hyperlink r:id="rId7" w:history="1">
        <w:r w:rsidR="00EB618A" w:rsidRPr="00D36892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/>
          </w:rPr>
          <w:t>https://poda.gov.ua/news/248973</w:t>
        </w:r>
      </w:hyperlink>
      <w:r w:rsidR="00EB618A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2FA35DC3" w14:textId="25FA855F" w:rsidR="00087667" w:rsidRPr="00D36892" w:rsidRDefault="00EB618A" w:rsidP="005D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проведення опитування обрані найбільш </w:t>
      </w:r>
      <w:r w:rsidR="005D66A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актуальні питання щодо наявності бар’єрів в доступності до помешкання, доступу до органів соціального захисту населення/надавачів </w:t>
      </w:r>
      <w:proofErr w:type="spellStart"/>
      <w:r w:rsidR="005D66A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соцпослуг</w:t>
      </w:r>
      <w:proofErr w:type="spellEnd"/>
      <w:r w:rsidR="005D66A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закладів охорони здоров’я,  освіти, адміністративних послуг, культури, об’єктів благоустрою, банківських установ та поштових відділень, доступності громадського транспорту. </w:t>
      </w:r>
    </w:p>
    <w:p w14:paraId="16DB4AE1" w14:textId="75317D25" w:rsidR="005D66AF" w:rsidRPr="00D36892" w:rsidRDefault="005D66AF" w:rsidP="005D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Участь в анонімному добровільному опитуванні взяли </w:t>
      </w:r>
      <w:r w:rsidRPr="00D368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58 респондентів</w:t>
      </w: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числа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категорій громадян та осіб, які проживають та допомагають в побуті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маломобільним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особам, які нездатні до самостійного обслуговування. </w:t>
      </w:r>
      <w:r w:rsidR="004F7CE0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81 % респондентів – це жінки (47 анкет), 19 % відповідно – чоловіки. </w:t>
      </w:r>
    </w:p>
    <w:p w14:paraId="069AE177" w14:textId="40C3EAFB" w:rsidR="004F7CE0" w:rsidRPr="00D36892" w:rsidRDefault="004F7CE0" w:rsidP="005D66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Розподіл по віковій категорії майже паритетний: 38% анкет заповнені респондентами, яким 36-45 років, 26 % - респондентами віком від 46-55 років, тобто особами працездатного віку. </w:t>
      </w:r>
    </w:p>
    <w:p w14:paraId="24311ECD" w14:textId="5ECAF02C" w:rsidR="004F7CE0" w:rsidRPr="00D36892" w:rsidRDefault="004F7CE0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Участь у опитування виявили бажання взяти особи з 10 територіальних громад, з яких переважна більшість – мешканці Полтавської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тергромади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(обласного центру) – 84 %. Враховуючи формат опрацювання даних та короткі терміни проведення опитування  в подальшому анкетні дані будуть доопрацьовані та використані для більш широкого анкетування мешканців області. </w:t>
      </w:r>
    </w:p>
    <w:p w14:paraId="2A6C9E27" w14:textId="326B9DA2" w:rsidR="004F7CE0" w:rsidRPr="00D36892" w:rsidRDefault="004F7CE0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питання щодо наявності інвалідності: 14% опитаних (8 анкет) – відповіли «Так» та 22,4% (13 анкет) зазначити, що проживають з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маломобільною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особою. </w:t>
      </w:r>
    </w:p>
    <w:p w14:paraId="658B135C" w14:textId="774C33E3" w:rsidR="004F7CE0" w:rsidRPr="00D36892" w:rsidRDefault="0084741B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Респонденти 22 анкет (37%) зазначили, що особисто вони або особа з якою вони мешкають користуються ДЗР.</w:t>
      </w:r>
    </w:p>
    <w:p w14:paraId="416F8AFE" w14:textId="353FC515" w:rsidR="0084741B" w:rsidRPr="00D36892" w:rsidRDefault="0084741B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Переважна більшість 65,5% респондентів проживають у багатоповерхівках вище 2 поверху, що корелюється з географією опитаних, так як для великих міст та міст обласного підпорядкування більш характерним є проживання у багатоповерхівках, ніж в сільській місцевості. </w:t>
      </w:r>
    </w:p>
    <w:p w14:paraId="6813EAFD" w14:textId="0335A462" w:rsidR="00C95AC1" w:rsidRPr="00D36892" w:rsidRDefault="0084741B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наявності пристосованого обладнання з доступності вхідної групи в помешканнях з 58 опитуваних маємо, що лише в 5 респондентів в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підїзді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встановлено інклюзивний ліфт ("двосторонній вхід", вантажний ліфт, ліфт з широкими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двірним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отвором, перед ліфтом відсутні сходи тощо), що скоріш за все стосується відносно нових забудов, де вже передбачене сучасне </w:t>
      </w: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обладнання, яке відповідає нормам. </w:t>
      </w:r>
      <w:r w:rsidR="00C95AC1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Тобто наявність ліфту з «0» поверху без необхідності долання сходового маршу. </w:t>
      </w:r>
    </w:p>
    <w:p w14:paraId="0BED0333" w14:textId="5F2AECB6" w:rsidR="0084741B" w:rsidRPr="00D36892" w:rsidRDefault="0084741B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19 анкетах зазначено про наявність ліфту, про те беручи до уваги сучасний стан енергетичної системи України, важливим є передбачення джерел резервного живлення для ліфтів або встановлення додаткового внутрішнього обладнання для підвищення доступності. </w:t>
      </w:r>
    </w:p>
    <w:p w14:paraId="406DBD0C" w14:textId="686B7D42" w:rsidR="00C95AC1" w:rsidRPr="00D36892" w:rsidRDefault="0084741B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Відтак лише у </w:t>
      </w:r>
      <w:r w:rsidR="00C95AC1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із 58 респондентів наявний внутрішній відкидний пандус для підйому. У всіх із опитуваних відсутні як сходові підйомники, так і похилі мобільні підйомники. </w:t>
      </w:r>
    </w:p>
    <w:p w14:paraId="7EB1307A" w14:textId="6F8CDC3A" w:rsidR="00C95AC1" w:rsidRPr="00D36892" w:rsidRDefault="00C95AC1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Лише у 7 респондентів наявний вуличний пандус перед вхідною групою. </w:t>
      </w:r>
    </w:p>
    <w:p w14:paraId="67272153" w14:textId="09E999E8" w:rsidR="0084741B" w:rsidRPr="00D36892" w:rsidRDefault="00C95AC1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даль у </w:t>
      </w:r>
      <w:r w:rsidR="0084741B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56,9% відсутнє будь-яке</w:t>
      </w: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перелічених обладнань, що говорить про наявність постійних ускладнень та перешкод для доступності мало мобільних категорій громадян до власних приміщень та виходу з них. </w:t>
      </w:r>
    </w:p>
    <w:p w14:paraId="61C1FE12" w14:textId="33A84A6F" w:rsidR="00C95AC1" w:rsidRPr="00D36892" w:rsidRDefault="00C95AC1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потреб у облаштуванні доступу до багатоквартирних будинків найбільшою потребою є вхідні пандуси ( 22,4%) та відкидні внутрішні пандуси (25,9%). </w:t>
      </w:r>
    </w:p>
    <w:p w14:paraId="5A3C6116" w14:textId="345682F4" w:rsidR="009A4BFA" w:rsidRPr="00D36892" w:rsidRDefault="009A4BFA" w:rsidP="004F7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Лише 8 осіб з опитаних отримували соціальні послуги в своїй громаді, з яких 2 особи отримують і зараз. </w:t>
      </w:r>
    </w:p>
    <w:p w14:paraId="3FD37EE5" w14:textId="7AC491EE" w:rsidR="00766F3F" w:rsidRPr="00D36892" w:rsidRDefault="00C95AC1" w:rsidP="00766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Респондентам було запропоновано надати оцінку доступності </w:t>
      </w:r>
      <w:r w:rsidR="00766F3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основних сфер, об’єктів та закладів соціальної інфраструктури громади проживання з урахуванням власного досвіду користування та комплексу факторів : </w:t>
      </w:r>
      <w:r w:rsidR="00766F3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фізична зручність</w:t>
      </w:r>
      <w:r w:rsidR="00766F3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пристосованість до потреб людей різних категорій та мобільності</w:t>
      </w:r>
      <w:r w:rsidR="00766F3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, можливість записатись/зареєструватись онлайн, наявність гарячих ліній, мобільних служб тощо)</w:t>
      </w:r>
      <w:r w:rsidR="00766F3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. Для оцінювання використано 10-бальну шкалу, де «0» - недоступний сервіс, сильні труднощі в отриманні послуг, а відповідно «10» відмінно, по</w:t>
      </w:r>
      <w:r w:rsidR="009A4BFA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слуги доступні без суттєвих бар’</w:t>
      </w:r>
      <w:r w:rsidR="00766F3F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єрів</w:t>
      </w:r>
      <w:r w:rsidR="009A4BFA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6C34C729" w14:textId="77777777" w:rsidR="00D36892" w:rsidRDefault="00D36892" w:rsidP="00766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918643" w14:textId="17675BBF" w:rsidR="009A4BFA" w:rsidRDefault="009A4BFA" w:rsidP="00766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оц</w:t>
      </w:r>
      <w:r w:rsidR="00D36892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інювання </w:t>
      </w:r>
      <w:r w:rsid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наступні (середньоарифметична оцінки всіх 58 респондентів). </w:t>
      </w:r>
    </w:p>
    <w:p w14:paraId="77858C0A" w14:textId="77777777" w:rsidR="009A4BFA" w:rsidRPr="00D36892" w:rsidRDefault="009A4BFA" w:rsidP="00766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71"/>
        <w:gridCol w:w="2835"/>
      </w:tblGrid>
      <w:tr w:rsidR="009A4BFA" w:rsidRPr="00D36892" w14:paraId="16B1AA3C" w14:textId="77777777" w:rsidTr="00012D13">
        <w:tc>
          <w:tcPr>
            <w:tcW w:w="6771" w:type="dxa"/>
          </w:tcPr>
          <w:p w14:paraId="3EDEA0E5" w14:textId="580AB21A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Сфера послуг в </w:t>
            </w:r>
            <w:proofErr w:type="spellStart"/>
            <w:r w:rsidRPr="00D3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тергромаді</w:t>
            </w:r>
            <w:proofErr w:type="spellEnd"/>
            <w:r w:rsidRPr="00D3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7DCF59B7" w14:textId="707E3786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Середня оцінка респондентів</w:t>
            </w:r>
          </w:p>
        </w:tc>
      </w:tr>
      <w:tr w:rsidR="009A4BFA" w:rsidRPr="00D36892" w14:paraId="52728055" w14:textId="77777777" w:rsidTr="00D36892">
        <w:tc>
          <w:tcPr>
            <w:tcW w:w="6771" w:type="dxa"/>
          </w:tcPr>
          <w:p w14:paraId="38DC70E0" w14:textId="582A1A54" w:rsidR="009A4BFA" w:rsidRPr="00D36892" w:rsidRDefault="009A4BFA" w:rsidP="009A4B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Фізична доступність будівлі, в якій проживаєте 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7BE31A3D" w14:textId="59646005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4,76</w:t>
            </w:r>
          </w:p>
        </w:tc>
      </w:tr>
      <w:tr w:rsidR="009A4BFA" w:rsidRPr="00D36892" w14:paraId="672C21B1" w14:textId="77777777" w:rsidTr="00D36892">
        <w:tc>
          <w:tcPr>
            <w:tcW w:w="6771" w:type="dxa"/>
          </w:tcPr>
          <w:p w14:paraId="0DB2258F" w14:textId="30076DAF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Органів </w:t>
            </w:r>
            <w:proofErr w:type="spellStart"/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соцзахисту</w:t>
            </w:r>
            <w:proofErr w:type="spellEnd"/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надавачів </w:t>
            </w:r>
            <w:proofErr w:type="spellStart"/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соцпослуг</w:t>
            </w:r>
            <w:proofErr w:type="spellEnd"/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65788EA" w14:textId="3FEB559A" w:rsidR="009A4BFA" w:rsidRPr="00D36892" w:rsidRDefault="009A4BFA" w:rsidP="009A4B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5,90 </w:t>
            </w:r>
          </w:p>
        </w:tc>
      </w:tr>
      <w:tr w:rsidR="009A4BFA" w:rsidRPr="00D36892" w14:paraId="7C11DCD2" w14:textId="77777777" w:rsidTr="00D36892">
        <w:tc>
          <w:tcPr>
            <w:tcW w:w="6771" w:type="dxa"/>
          </w:tcPr>
          <w:p w14:paraId="23157558" w14:textId="0AC204FC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Охорони здоров’я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94375FB" w14:textId="62EC586F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5,39</w:t>
            </w:r>
          </w:p>
        </w:tc>
      </w:tr>
      <w:tr w:rsidR="009A4BFA" w:rsidRPr="00D36892" w14:paraId="540AE9FC" w14:textId="77777777" w:rsidTr="00D36892">
        <w:tc>
          <w:tcPr>
            <w:tcW w:w="6771" w:type="dxa"/>
          </w:tcPr>
          <w:p w14:paraId="54515ECC" w14:textId="48DAD84E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Шкільна та дошкільна освіта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0AE9159" w14:textId="2FD3E807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6,10</w:t>
            </w:r>
          </w:p>
        </w:tc>
      </w:tr>
      <w:tr w:rsidR="009A4BFA" w:rsidRPr="00D36892" w14:paraId="066B8023" w14:textId="77777777" w:rsidTr="00D36892">
        <w:tc>
          <w:tcPr>
            <w:tcW w:w="6771" w:type="dxa"/>
          </w:tcPr>
          <w:p w14:paraId="41BF3C8B" w14:textId="7A98761C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Громадського транспорту та </w:t>
            </w:r>
            <w:r w:rsidR="00012D13"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транспортного сполучення 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0826BB9" w14:textId="72B05A68" w:rsidR="009A4BFA" w:rsidRPr="00D36892" w:rsidRDefault="009A4BFA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4,17</w:t>
            </w:r>
          </w:p>
        </w:tc>
      </w:tr>
      <w:tr w:rsidR="009A4BFA" w:rsidRPr="00D36892" w14:paraId="634EBBF4" w14:textId="77777777" w:rsidTr="00D36892">
        <w:tc>
          <w:tcPr>
            <w:tcW w:w="6771" w:type="dxa"/>
          </w:tcPr>
          <w:p w14:paraId="651F6FB7" w14:textId="4D7F5849" w:rsidR="009A4BFA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Адміністративних послуг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020DB7BF" w14:textId="78E7588B" w:rsidR="009A4BFA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6,33</w:t>
            </w:r>
          </w:p>
        </w:tc>
      </w:tr>
      <w:tr w:rsidR="009A4BFA" w:rsidRPr="00D36892" w14:paraId="4FE680C0" w14:textId="77777777" w:rsidTr="00D36892">
        <w:tc>
          <w:tcPr>
            <w:tcW w:w="6771" w:type="dxa"/>
          </w:tcPr>
          <w:p w14:paraId="5E8D67DE" w14:textId="24266EBE" w:rsidR="009A4BFA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Закладів культури (бібліотек, музеїв, тощо)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1D69386" w14:textId="72ABBE0C" w:rsidR="009A4BFA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5,22</w:t>
            </w:r>
          </w:p>
        </w:tc>
      </w:tr>
      <w:tr w:rsidR="00012D13" w:rsidRPr="00D36892" w14:paraId="39B9A666" w14:textId="77777777" w:rsidTr="00D36892">
        <w:tc>
          <w:tcPr>
            <w:tcW w:w="6771" w:type="dxa"/>
          </w:tcPr>
          <w:p w14:paraId="4BB367FC" w14:textId="41561455" w:rsidR="00012D13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Банківських установ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CA8FB33" w14:textId="1BCAB4B7" w:rsidR="00012D13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5,47</w:t>
            </w:r>
          </w:p>
        </w:tc>
      </w:tr>
      <w:tr w:rsidR="00012D13" w:rsidRPr="00D36892" w14:paraId="0BA3B9CE" w14:textId="77777777" w:rsidTr="00D36892">
        <w:tc>
          <w:tcPr>
            <w:tcW w:w="6771" w:type="dxa"/>
          </w:tcPr>
          <w:p w14:paraId="65A046EE" w14:textId="50CD7C3A" w:rsidR="00012D13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Поштових відділень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0CE0BB3" w14:textId="3D5B8D28" w:rsidR="00012D13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6,24</w:t>
            </w:r>
          </w:p>
        </w:tc>
      </w:tr>
      <w:tr w:rsidR="00012D13" w:rsidRPr="00D36892" w14:paraId="48E04418" w14:textId="77777777" w:rsidTr="00D36892">
        <w:tc>
          <w:tcPr>
            <w:tcW w:w="6771" w:type="dxa"/>
          </w:tcPr>
          <w:p w14:paraId="043CCA2F" w14:textId="55140233" w:rsidR="00012D13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Об’єктів благоустрою (парки, зони відпочинку тощо)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B251696" w14:textId="34B12A41" w:rsidR="00012D13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5,67</w:t>
            </w:r>
          </w:p>
        </w:tc>
      </w:tr>
      <w:tr w:rsidR="00012D13" w:rsidRPr="00D36892" w14:paraId="66B15B7E" w14:textId="77777777" w:rsidTr="00D36892">
        <w:tc>
          <w:tcPr>
            <w:tcW w:w="6771" w:type="dxa"/>
          </w:tcPr>
          <w:p w14:paraId="1AD40243" w14:textId="10A578D8" w:rsidR="00012D13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Закладів торгівлі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267799D" w14:textId="466C6C67" w:rsidR="00012D13" w:rsidRPr="00D36892" w:rsidRDefault="00012D13" w:rsidP="00766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6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6,53</w:t>
            </w:r>
          </w:p>
        </w:tc>
      </w:tr>
    </w:tbl>
    <w:p w14:paraId="0FA8B5F2" w14:textId="2FD9C6DE" w:rsidR="009A4BFA" w:rsidRPr="00D36892" w:rsidRDefault="00D36892" w:rsidP="00766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Показники </w:t>
      </w: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відображають що значні бар’єри зберігаються в доступності громадського транспорту та розвитку транспортного сполучення, в також забезпечення доступності будівель/помешкань. На відносно кращих позиціях щодо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</w:t>
      </w: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єрності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перебувають заклади торгівлі, поштові відділення та банківські установи, що підтверджує зацікавленість приватного сектору економіки забезпечувати надання послуг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всім категоріям громадян та готові поліпшувати свою інфраструктуру для цього. Додаткової уваги потребують заклади охорони здоров’я, так як ця сфера чи не найбільше дотична до взаємодії з мало мобільними категоріями громадян: починаючи від вагітних жінок та осіб, які перебувають на лікуванні до осіб, які мають інвалідність та проходять лікувально-реабілітаційні процедури на постійній основі.  </w:t>
      </w:r>
    </w:p>
    <w:p w14:paraId="41FB03DA" w14:textId="709AFA1D" w:rsidR="00012D13" w:rsidRPr="00D36892" w:rsidRDefault="00012D13" w:rsidP="00012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завершення анкетування, респондентам було запропоновано надайте оцінку важливості та пріоритетності впровадження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</w:t>
      </w:r>
      <w:r w:rsidR="00D36892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bookmarkStart w:id="0" w:name="_GoBack"/>
      <w:bookmarkEnd w:id="0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єрних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рішень (облаштування простору, встановлення обладнання, оновлення інформаційних матеріал з урахуванням потреб осіб з порушення мовлення/зору/слуху тощо) в Вашій громаді.</w:t>
      </w:r>
      <w:r w:rsidR="002F3430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3430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оцінювання використано 10-бальну шкалу, де «0» - </w:t>
      </w:r>
      <w:r w:rsidR="002F3430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вкрай важливо, цьому варто приділяти більше уваги та фінансових ресурсів</w:t>
      </w:r>
      <w:r w:rsidR="002F3430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відповідно «10» </w:t>
      </w:r>
      <w:r w:rsidR="002F3430"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вкрай важливо, цьому варто приділяти більше уваги та фінансових ресурсів. </w:t>
      </w:r>
    </w:p>
    <w:p w14:paraId="439001D8" w14:textId="3D5BE54A" w:rsidR="002F3430" w:rsidRPr="00D36892" w:rsidRDefault="002F3430" w:rsidP="00012D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46,6 % респондентів (27 анкет) відмітили, що впровадження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безбар’єрних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рішень є вкрай важливим аспектом життя, і цьому варто приділяти більше уваги та ресурсів в їх громаді. Середній «показник» точки зору на це питання становить «7,55», тобто реалізація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безбар’єрних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ініціатив та </w:t>
      </w:r>
      <w:proofErr w:type="spellStart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D368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мають позитивний відгук в населення та є затребуваними, якщо враховують чітку потребу та думку мешканців населеного пункту.   </w:t>
      </w:r>
    </w:p>
    <w:sectPr w:rsidR="002F3430" w:rsidRPr="00D36892" w:rsidSect="00A079C2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E012E"/>
    <w:rsid w:val="00012D13"/>
    <w:rsid w:val="00087667"/>
    <w:rsid w:val="000877D0"/>
    <w:rsid w:val="000F17D2"/>
    <w:rsid w:val="0015491C"/>
    <w:rsid w:val="002330B2"/>
    <w:rsid w:val="00234BA6"/>
    <w:rsid w:val="002C52C6"/>
    <w:rsid w:val="002F3430"/>
    <w:rsid w:val="003C64A2"/>
    <w:rsid w:val="00405E3B"/>
    <w:rsid w:val="00483A0E"/>
    <w:rsid w:val="004E012E"/>
    <w:rsid w:val="004F7CE0"/>
    <w:rsid w:val="00545D80"/>
    <w:rsid w:val="005B6A80"/>
    <w:rsid w:val="005D66AF"/>
    <w:rsid w:val="0065106E"/>
    <w:rsid w:val="00766F3F"/>
    <w:rsid w:val="0084741B"/>
    <w:rsid w:val="009A4BFA"/>
    <w:rsid w:val="00A079C2"/>
    <w:rsid w:val="00A13472"/>
    <w:rsid w:val="00A562ED"/>
    <w:rsid w:val="00B94F98"/>
    <w:rsid w:val="00BC3D0D"/>
    <w:rsid w:val="00C734A2"/>
    <w:rsid w:val="00C95AC1"/>
    <w:rsid w:val="00D36892"/>
    <w:rsid w:val="00DE71EC"/>
    <w:rsid w:val="00E327E5"/>
    <w:rsid w:val="00E4105F"/>
    <w:rsid w:val="00E6711F"/>
    <w:rsid w:val="00E87222"/>
    <w:rsid w:val="00E92D34"/>
    <w:rsid w:val="00E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1B17"/>
  <w15:docId w15:val="{9C29224C-5CF8-439C-B3B4-1EC06E7C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rsid w:val="00A079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A079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A079C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079C2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styleId="a9">
    <w:name w:val="Emphasis"/>
    <w:qFormat/>
    <w:rsid w:val="00A079C2"/>
    <w:rPr>
      <w:i/>
      <w:iCs/>
    </w:rPr>
  </w:style>
  <w:style w:type="table" w:styleId="aa">
    <w:name w:val="Table Grid"/>
    <w:basedOn w:val="a1"/>
    <w:uiPriority w:val="59"/>
    <w:rsid w:val="0065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C3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oda.gov.ua/news/24897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F56BB3-3917-419B-9818-F4D8AA84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3</Pages>
  <Words>4306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k206-6</dc:creator>
  <cp:keywords/>
  <dc:description/>
  <cp:lastModifiedBy>user</cp:lastModifiedBy>
  <cp:revision>4</cp:revision>
  <dcterms:created xsi:type="dcterms:W3CDTF">2025-07-16T13:48:00Z</dcterms:created>
  <dcterms:modified xsi:type="dcterms:W3CDTF">2025-12-29T14:09:00Z</dcterms:modified>
</cp:coreProperties>
</file>