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299" w:rsidRDefault="00F11299" w:rsidP="00F11299">
      <w:pPr>
        <w:tabs>
          <w:tab w:val="left" w:pos="1280"/>
        </w:tabs>
      </w:pPr>
      <w:r>
        <w:t xml:space="preserve">                                                                                      </w:t>
      </w:r>
      <w:r w:rsidRPr="00F11299">
        <w:rPr>
          <w:lang w:val="ru-RU"/>
        </w:rPr>
        <w:t xml:space="preserve">                  </w:t>
      </w:r>
    </w:p>
    <w:p w:rsidR="00F11299" w:rsidRDefault="00F11299" w:rsidP="00F11299">
      <w:pPr>
        <w:tabs>
          <w:tab w:val="left" w:pos="1280"/>
        </w:tabs>
      </w:pPr>
    </w:p>
    <w:p w:rsidR="00F11299" w:rsidRDefault="00F11299" w:rsidP="00F11299">
      <w:pPr>
        <w:widowControl w:val="0"/>
        <w:shd w:val="clear" w:color="auto" w:fill="FFFFFF"/>
        <w:tabs>
          <w:tab w:val="left" w:pos="5797"/>
          <w:tab w:val="left" w:pos="5984"/>
        </w:tabs>
        <w:autoSpaceDE w:val="0"/>
        <w:autoSpaceDN w:val="0"/>
        <w:adjustRightInd w:val="0"/>
        <w:spacing w:line="226" w:lineRule="exact"/>
        <w:ind w:right="346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Додаток 2</w:t>
      </w:r>
    </w:p>
    <w:p w:rsidR="00F11299" w:rsidRPr="008352D6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5984" w:right="346" w:hanging="1720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до  </w:t>
      </w:r>
      <w:r>
        <w:rPr>
          <w:color w:val="000000"/>
          <w:spacing w:val="-3"/>
          <w:szCs w:val="28"/>
        </w:rPr>
        <w:t xml:space="preserve">розпорядженням  </w:t>
      </w:r>
    </w:p>
    <w:p w:rsidR="00F11299" w:rsidRPr="008352D6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5984" w:right="346" w:hanging="1720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               голови </w:t>
      </w:r>
      <w:r>
        <w:rPr>
          <w:color w:val="000000"/>
          <w:spacing w:val="-4"/>
          <w:szCs w:val="28"/>
        </w:rPr>
        <w:t xml:space="preserve">облдержадміністрації 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3963" w:right="346" w:firstLine="301"/>
        <w:rPr>
          <w:szCs w:val="28"/>
        </w:rPr>
      </w:pPr>
      <w:r>
        <w:rPr>
          <w:color w:val="000000"/>
          <w:spacing w:val="-2"/>
          <w:szCs w:val="28"/>
        </w:rPr>
        <w:t xml:space="preserve">                       24.03.2009            № 96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3963" w:right="346" w:firstLine="301"/>
        <w:rPr>
          <w:color w:val="000000"/>
          <w:spacing w:val="-2"/>
          <w:szCs w:val="28"/>
        </w:rPr>
      </w:pP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3963" w:right="346" w:firstLine="301"/>
        <w:jc w:val="center"/>
        <w:rPr>
          <w:color w:val="000000"/>
          <w:spacing w:val="-2"/>
          <w:szCs w:val="28"/>
        </w:rPr>
      </w:pPr>
    </w:p>
    <w:p w:rsidR="00F11299" w:rsidRPr="008352D6" w:rsidRDefault="00F11299" w:rsidP="00F11299">
      <w:pPr>
        <w:pStyle w:val="Heading1"/>
        <w:jc w:val="center"/>
        <w:rPr>
          <w:bCs/>
          <w:sz w:val="32"/>
          <w:szCs w:val="32"/>
        </w:rPr>
      </w:pPr>
      <w:r w:rsidRPr="008352D6">
        <w:rPr>
          <w:bCs/>
          <w:sz w:val="32"/>
          <w:szCs w:val="32"/>
        </w:rPr>
        <w:t>ПОЛОЖЕННЯ</w:t>
      </w:r>
    </w:p>
    <w:p w:rsidR="00F11299" w:rsidRPr="008352D6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1152" w:hanging="782"/>
        <w:jc w:val="center"/>
        <w:rPr>
          <w:bCs/>
          <w:color w:val="000000"/>
          <w:spacing w:val="-1"/>
          <w:szCs w:val="28"/>
        </w:rPr>
      </w:pPr>
      <w:r w:rsidRPr="008352D6">
        <w:rPr>
          <w:bCs/>
          <w:color w:val="000000"/>
          <w:spacing w:val="-1"/>
          <w:szCs w:val="28"/>
        </w:rPr>
        <w:t>про   комісію з питань координації</w:t>
      </w:r>
    </w:p>
    <w:p w:rsidR="00F11299" w:rsidRPr="008352D6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1152" w:hanging="782"/>
        <w:jc w:val="center"/>
        <w:rPr>
          <w:bCs/>
          <w:szCs w:val="28"/>
        </w:rPr>
      </w:pPr>
      <w:r w:rsidRPr="008352D6">
        <w:rPr>
          <w:bCs/>
          <w:color w:val="000000"/>
          <w:spacing w:val="-1"/>
          <w:szCs w:val="28"/>
        </w:rPr>
        <w:t xml:space="preserve">міжгалузевих </w:t>
      </w:r>
      <w:r w:rsidRPr="008352D6">
        <w:rPr>
          <w:bCs/>
          <w:color w:val="000000"/>
          <w:szCs w:val="28"/>
        </w:rPr>
        <w:t>відносин на ринку сільськогосподарської   продукції</w:t>
      </w:r>
    </w:p>
    <w:p w:rsidR="00F11299" w:rsidRDefault="00F11299" w:rsidP="00F11299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216"/>
        <w:ind w:left="29" w:firstLine="673"/>
        <w:jc w:val="both"/>
        <w:rPr>
          <w:szCs w:val="28"/>
        </w:rPr>
      </w:pPr>
      <w:r>
        <w:rPr>
          <w:color w:val="000000"/>
          <w:spacing w:val="-28"/>
          <w:szCs w:val="28"/>
        </w:rPr>
        <w:t xml:space="preserve">1. </w:t>
      </w:r>
      <w:r>
        <w:rPr>
          <w:color w:val="000000"/>
          <w:szCs w:val="28"/>
        </w:rPr>
        <w:t>Комісія з питань координації міжгалузевих відносин на</w:t>
      </w:r>
      <w:r>
        <w:rPr>
          <w:color w:val="000000"/>
          <w:szCs w:val="28"/>
        </w:rPr>
        <w:br/>
      </w:r>
      <w:r>
        <w:rPr>
          <w:color w:val="000000"/>
          <w:spacing w:val="4"/>
          <w:szCs w:val="28"/>
        </w:rPr>
        <w:t>ринку сільськогосподарської продукції  (далі - комісія) є консультативно -</w:t>
      </w:r>
      <w:r>
        <w:rPr>
          <w:color w:val="000000"/>
          <w:spacing w:val="4"/>
          <w:szCs w:val="28"/>
        </w:rPr>
        <w:br/>
      </w:r>
      <w:r>
        <w:rPr>
          <w:color w:val="000000"/>
          <w:spacing w:val="2"/>
          <w:szCs w:val="28"/>
        </w:rPr>
        <w:t>дорадчим  органом</w:t>
      </w:r>
      <w:r>
        <w:rPr>
          <w:color w:val="000000"/>
          <w:spacing w:val="-1"/>
          <w:szCs w:val="28"/>
        </w:rPr>
        <w:t>.</w:t>
      </w:r>
    </w:p>
    <w:p w:rsidR="00F11299" w:rsidRDefault="00F11299" w:rsidP="00F11299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72"/>
        <w:ind w:left="29" w:firstLine="673"/>
        <w:jc w:val="both"/>
        <w:rPr>
          <w:szCs w:val="28"/>
        </w:rPr>
      </w:pPr>
      <w:r>
        <w:rPr>
          <w:color w:val="000000"/>
          <w:spacing w:val="-14"/>
          <w:szCs w:val="28"/>
        </w:rPr>
        <w:t xml:space="preserve">2 .  </w:t>
      </w:r>
      <w:r>
        <w:rPr>
          <w:color w:val="000000"/>
          <w:spacing w:val="1"/>
          <w:szCs w:val="28"/>
        </w:rPr>
        <w:t>Комісія  у  своїй   діяльності   керується   Конституцією  та  законами</w:t>
      </w:r>
      <w:r>
        <w:rPr>
          <w:color w:val="000000"/>
          <w:spacing w:val="1"/>
          <w:szCs w:val="28"/>
        </w:rPr>
        <w:br/>
      </w:r>
      <w:r>
        <w:rPr>
          <w:color w:val="000000"/>
          <w:spacing w:val="3"/>
          <w:szCs w:val="28"/>
        </w:rPr>
        <w:t>України, актами Президента України і Кабінету Міністрів України, а також</w:t>
      </w:r>
      <w:r>
        <w:rPr>
          <w:color w:val="000000"/>
          <w:spacing w:val="3"/>
          <w:szCs w:val="28"/>
        </w:rPr>
        <w:br/>
      </w:r>
      <w:r>
        <w:rPr>
          <w:color w:val="000000"/>
          <w:spacing w:val="-3"/>
          <w:szCs w:val="28"/>
        </w:rPr>
        <w:t xml:space="preserve"> Положенням про комісію з питань координації міжгалузевих відносин на ринку сільськогосподарської продукції ( далі - Положення ).</w:t>
      </w:r>
    </w:p>
    <w:p w:rsidR="00F11299" w:rsidRDefault="00F11299" w:rsidP="00F11299">
      <w:pPr>
        <w:widowControl w:val="0"/>
        <w:shd w:val="clear" w:color="auto" w:fill="FFFFFF"/>
        <w:tabs>
          <w:tab w:val="left" w:pos="595"/>
          <w:tab w:val="left" w:pos="748"/>
        </w:tabs>
        <w:autoSpaceDE w:val="0"/>
        <w:autoSpaceDN w:val="0"/>
        <w:adjustRightInd w:val="0"/>
        <w:spacing w:before="77"/>
        <w:ind w:left="29" w:firstLine="673"/>
        <w:rPr>
          <w:szCs w:val="28"/>
        </w:rPr>
      </w:pPr>
      <w:r>
        <w:rPr>
          <w:color w:val="000000"/>
          <w:spacing w:val="-13"/>
          <w:szCs w:val="28"/>
        </w:rPr>
        <w:t xml:space="preserve">3. </w:t>
      </w:r>
      <w:r>
        <w:rPr>
          <w:color w:val="000000"/>
          <w:szCs w:val="28"/>
        </w:rPr>
        <w:t xml:space="preserve"> </w:t>
      </w:r>
      <w:r>
        <w:rPr>
          <w:color w:val="000000"/>
          <w:spacing w:val="1"/>
          <w:szCs w:val="28"/>
        </w:rPr>
        <w:t>Основними завданнями комісії є :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29" w:firstLine="673"/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підготовка та подання обласній державній адміністрації пропозицій щодо </w:t>
      </w:r>
      <w:r>
        <w:rPr>
          <w:color w:val="000000"/>
          <w:spacing w:val="6"/>
          <w:szCs w:val="28"/>
        </w:rPr>
        <w:t xml:space="preserve">координації діяльності органів виконавчої влади у сфері регулювання </w:t>
      </w:r>
      <w:r>
        <w:rPr>
          <w:color w:val="000000"/>
          <w:szCs w:val="28"/>
        </w:rPr>
        <w:t>відносин ринку сільськогосподарської  продукції;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29" w:firstLine="673"/>
        <w:jc w:val="both"/>
        <w:rPr>
          <w:szCs w:val="28"/>
        </w:rPr>
      </w:pPr>
      <w:r>
        <w:rPr>
          <w:color w:val="000000"/>
          <w:szCs w:val="28"/>
        </w:rPr>
        <w:t xml:space="preserve">вивчення, узагальнення і поширення позитивного досвіду, в тому числі </w:t>
      </w:r>
      <w:r>
        <w:rPr>
          <w:color w:val="000000"/>
          <w:spacing w:val="-1"/>
          <w:szCs w:val="28"/>
        </w:rPr>
        <w:t xml:space="preserve">економічно розвинутих країн, щодо формування та розвитку конкурентного </w:t>
      </w:r>
      <w:r>
        <w:rPr>
          <w:color w:val="000000"/>
          <w:szCs w:val="28"/>
        </w:rPr>
        <w:t>середовища на ринку сільськогосподарської продукції;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29" w:firstLine="673"/>
        <w:jc w:val="both"/>
        <w:rPr>
          <w:szCs w:val="28"/>
        </w:rPr>
      </w:pPr>
      <w:r>
        <w:rPr>
          <w:color w:val="000000"/>
          <w:spacing w:val="-1"/>
          <w:szCs w:val="28"/>
        </w:rPr>
        <w:t xml:space="preserve">розроблення рекомендацій щодо створення паритетних умов діяльності </w:t>
      </w:r>
      <w:r>
        <w:rPr>
          <w:color w:val="000000"/>
          <w:szCs w:val="28"/>
        </w:rPr>
        <w:t xml:space="preserve">сільськогосподарських товаровиробників та товаровиробників інших галузей </w:t>
      </w:r>
      <w:r>
        <w:rPr>
          <w:color w:val="000000"/>
          <w:spacing w:val="-3"/>
          <w:szCs w:val="28"/>
        </w:rPr>
        <w:t>економіки;</w:t>
      </w:r>
    </w:p>
    <w:p w:rsidR="00F11299" w:rsidRDefault="00F11299" w:rsidP="00F11299">
      <w:pPr>
        <w:widowControl w:val="0"/>
        <w:shd w:val="clear" w:color="auto" w:fill="FFFFFF"/>
        <w:tabs>
          <w:tab w:val="left" w:pos="748"/>
        </w:tabs>
        <w:autoSpaceDE w:val="0"/>
        <w:autoSpaceDN w:val="0"/>
        <w:adjustRightInd w:val="0"/>
        <w:ind w:left="29" w:firstLine="673"/>
        <w:jc w:val="both"/>
        <w:rPr>
          <w:szCs w:val="28"/>
        </w:rPr>
      </w:pPr>
      <w:r>
        <w:rPr>
          <w:color w:val="000000"/>
          <w:spacing w:val="4"/>
          <w:szCs w:val="28"/>
        </w:rPr>
        <w:t xml:space="preserve">спрямування діяльності обласної  комісії з питань </w:t>
      </w:r>
      <w:r>
        <w:rPr>
          <w:color w:val="000000"/>
          <w:spacing w:val="8"/>
          <w:szCs w:val="28"/>
        </w:rPr>
        <w:t xml:space="preserve">координації міжгалузевих відносин на ринку сільськогосподарської продукції </w:t>
      </w:r>
      <w:r>
        <w:rPr>
          <w:color w:val="000000"/>
          <w:spacing w:val="3"/>
          <w:szCs w:val="28"/>
        </w:rPr>
        <w:t xml:space="preserve"> на створення умов для прибуткової </w:t>
      </w:r>
      <w:r>
        <w:rPr>
          <w:color w:val="000000"/>
          <w:spacing w:val="4"/>
          <w:szCs w:val="28"/>
        </w:rPr>
        <w:t xml:space="preserve">діяльності виробників сільськогосподарської продукції  </w:t>
      </w:r>
      <w:r>
        <w:rPr>
          <w:color w:val="000000"/>
          <w:spacing w:val="9"/>
          <w:szCs w:val="28"/>
        </w:rPr>
        <w:t xml:space="preserve">виходячи з моніторингу цін, який складається на внутрішньому та </w:t>
      </w:r>
      <w:r>
        <w:rPr>
          <w:color w:val="000000"/>
          <w:spacing w:val="-1"/>
          <w:szCs w:val="28"/>
        </w:rPr>
        <w:t>зовнішньому ринках;</w:t>
      </w:r>
    </w:p>
    <w:p w:rsidR="00F11299" w:rsidRDefault="00F11299" w:rsidP="00F11299">
      <w:pPr>
        <w:widowControl w:val="0"/>
        <w:shd w:val="clear" w:color="auto" w:fill="FFFFFF"/>
        <w:tabs>
          <w:tab w:val="left" w:pos="748"/>
        </w:tabs>
        <w:autoSpaceDE w:val="0"/>
        <w:autoSpaceDN w:val="0"/>
        <w:adjustRightInd w:val="0"/>
        <w:ind w:left="29" w:firstLine="673"/>
        <w:jc w:val="both"/>
        <w:rPr>
          <w:szCs w:val="28"/>
        </w:rPr>
      </w:pPr>
      <w:r>
        <w:rPr>
          <w:color w:val="000000"/>
          <w:szCs w:val="28"/>
        </w:rPr>
        <w:t xml:space="preserve">відстеження процесів, пов'язаних з недобросовісною конкуренцією, </w:t>
      </w:r>
      <w:r>
        <w:rPr>
          <w:color w:val="000000"/>
          <w:spacing w:val="-2"/>
          <w:szCs w:val="28"/>
        </w:rPr>
        <w:t xml:space="preserve">контрабандою на ринку </w:t>
      </w:r>
      <w:r>
        <w:rPr>
          <w:color w:val="000000"/>
          <w:szCs w:val="28"/>
        </w:rPr>
        <w:t xml:space="preserve">сільськогосподарської </w:t>
      </w:r>
      <w:r>
        <w:rPr>
          <w:color w:val="000000"/>
          <w:spacing w:val="-2"/>
          <w:szCs w:val="28"/>
        </w:rPr>
        <w:t xml:space="preserve">продукції. Вносити  </w:t>
      </w:r>
      <w:r>
        <w:rPr>
          <w:color w:val="000000"/>
          <w:szCs w:val="28"/>
        </w:rPr>
        <w:t>пропозиції щодо їх недопущення;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29" w:firstLine="673"/>
        <w:jc w:val="both"/>
        <w:rPr>
          <w:color w:val="000000"/>
          <w:szCs w:val="28"/>
        </w:rPr>
      </w:pPr>
      <w:r>
        <w:rPr>
          <w:color w:val="000000"/>
          <w:spacing w:val="2"/>
          <w:szCs w:val="28"/>
        </w:rPr>
        <w:t xml:space="preserve">подання обласній державній адміністрації в установленому порядку </w:t>
      </w:r>
      <w:r>
        <w:rPr>
          <w:color w:val="000000"/>
          <w:spacing w:val="-1"/>
          <w:szCs w:val="28"/>
        </w:rPr>
        <w:t>пропозицій з питань формування ринку</w:t>
      </w:r>
      <w:r>
        <w:rPr>
          <w:color w:val="000000"/>
          <w:szCs w:val="28"/>
        </w:rPr>
        <w:t xml:space="preserve"> сільськогосподарської</w:t>
      </w:r>
      <w:r>
        <w:rPr>
          <w:color w:val="000000"/>
          <w:spacing w:val="-1"/>
          <w:szCs w:val="28"/>
        </w:rPr>
        <w:t xml:space="preserve"> продукції, з</w:t>
      </w:r>
      <w:r>
        <w:rPr>
          <w:color w:val="000000"/>
          <w:szCs w:val="28"/>
        </w:rPr>
        <w:t>ахисту вітчизняного виробника.</w:t>
      </w:r>
    </w:p>
    <w:p w:rsidR="00F11299" w:rsidRDefault="00F11299" w:rsidP="00F11299">
      <w:pPr>
        <w:widowControl w:val="0"/>
        <w:shd w:val="clear" w:color="auto" w:fill="FFFFFF"/>
        <w:tabs>
          <w:tab w:val="left" w:pos="595"/>
          <w:tab w:val="left" w:pos="748"/>
        </w:tabs>
        <w:autoSpaceDE w:val="0"/>
        <w:autoSpaceDN w:val="0"/>
        <w:adjustRightInd w:val="0"/>
        <w:spacing w:before="77"/>
        <w:ind w:left="29" w:firstLine="673"/>
        <w:jc w:val="both"/>
        <w:rPr>
          <w:szCs w:val="28"/>
        </w:rPr>
      </w:pPr>
      <w:r>
        <w:rPr>
          <w:color w:val="000000"/>
          <w:spacing w:val="-14"/>
          <w:szCs w:val="28"/>
        </w:rPr>
        <w:t>4.</w:t>
      </w:r>
      <w:r>
        <w:rPr>
          <w:color w:val="000000"/>
          <w:szCs w:val="28"/>
        </w:rPr>
        <w:t xml:space="preserve"> Комісія відповідно до покладених на неї завдань має право :</w:t>
      </w:r>
    </w:p>
    <w:p w:rsidR="00F11299" w:rsidRDefault="00F11299" w:rsidP="00F11299">
      <w:pPr>
        <w:widowControl w:val="0"/>
        <w:shd w:val="clear" w:color="auto" w:fill="FFFFFF"/>
        <w:tabs>
          <w:tab w:val="left" w:pos="748"/>
          <w:tab w:val="left" w:pos="935"/>
        </w:tabs>
        <w:autoSpaceDE w:val="0"/>
        <w:autoSpaceDN w:val="0"/>
        <w:adjustRightInd w:val="0"/>
        <w:spacing w:before="72"/>
        <w:ind w:left="29" w:right="29" w:firstLine="673"/>
        <w:jc w:val="both"/>
        <w:rPr>
          <w:color w:val="000000"/>
          <w:spacing w:val="-5"/>
          <w:szCs w:val="28"/>
        </w:rPr>
      </w:pPr>
      <w:r>
        <w:rPr>
          <w:color w:val="000000"/>
          <w:spacing w:val="9"/>
          <w:szCs w:val="28"/>
        </w:rPr>
        <w:t xml:space="preserve">одержувати від обласних і місцевих органів виконавчої влади, </w:t>
      </w:r>
      <w:r>
        <w:rPr>
          <w:color w:val="000000"/>
          <w:spacing w:val="4"/>
          <w:szCs w:val="28"/>
        </w:rPr>
        <w:t xml:space="preserve">підприємств, установ та організацій необхідну інформацію та статистичні  </w:t>
      </w:r>
      <w:r>
        <w:rPr>
          <w:color w:val="000000"/>
          <w:spacing w:val="-5"/>
          <w:szCs w:val="28"/>
        </w:rPr>
        <w:t>дані;</w:t>
      </w:r>
    </w:p>
    <w:p w:rsidR="00F11299" w:rsidRDefault="00F11299" w:rsidP="00F11299">
      <w:pPr>
        <w:widowControl w:val="0"/>
        <w:shd w:val="clear" w:color="auto" w:fill="FFFFFF"/>
        <w:tabs>
          <w:tab w:val="left" w:pos="561"/>
          <w:tab w:val="left" w:pos="935"/>
        </w:tabs>
        <w:autoSpaceDE w:val="0"/>
        <w:autoSpaceDN w:val="0"/>
        <w:adjustRightInd w:val="0"/>
        <w:ind w:left="29" w:right="14" w:firstLine="673"/>
        <w:jc w:val="both"/>
        <w:rPr>
          <w:color w:val="000000"/>
          <w:spacing w:val="4"/>
          <w:szCs w:val="28"/>
        </w:rPr>
      </w:pPr>
      <w:r>
        <w:rPr>
          <w:color w:val="000000"/>
          <w:spacing w:val="-2"/>
          <w:szCs w:val="28"/>
        </w:rPr>
        <w:t xml:space="preserve">утворювати в установленому порядку  робочі групи для  </w:t>
      </w:r>
      <w:r>
        <w:rPr>
          <w:color w:val="000000"/>
          <w:spacing w:val="8"/>
          <w:szCs w:val="28"/>
        </w:rPr>
        <w:t xml:space="preserve">підготовки </w:t>
      </w:r>
      <w:r>
        <w:rPr>
          <w:color w:val="000000"/>
          <w:spacing w:val="8"/>
          <w:szCs w:val="28"/>
        </w:rPr>
        <w:lastRenderedPageBreak/>
        <w:t xml:space="preserve">проектів нормативно-розпорядчих актів, проведення наукових </w:t>
      </w:r>
      <w:r>
        <w:rPr>
          <w:color w:val="000000"/>
          <w:spacing w:val="4"/>
          <w:szCs w:val="28"/>
        </w:rPr>
        <w:t xml:space="preserve">досліджень та експертних оцінок; 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ind w:left="29" w:right="14" w:firstLine="673"/>
        <w:jc w:val="both"/>
        <w:rPr>
          <w:szCs w:val="28"/>
        </w:rPr>
      </w:pPr>
      <w:r>
        <w:rPr>
          <w:color w:val="000000"/>
          <w:spacing w:val="4"/>
          <w:szCs w:val="28"/>
        </w:rPr>
        <w:t xml:space="preserve">залучати до їх роботи працівників органів виконавчої влади та місцевого самоврядування, незалежних експертів,  а також фахівців наукових та інших установ для розгляду питань, що входять в їх компетенцію (за згодою їх </w:t>
      </w:r>
      <w:r>
        <w:rPr>
          <w:color w:val="000000"/>
          <w:spacing w:val="-1"/>
          <w:szCs w:val="28"/>
        </w:rPr>
        <w:t>керівників).</w:t>
      </w:r>
    </w:p>
    <w:p w:rsidR="00F11299" w:rsidRPr="00356A18" w:rsidRDefault="00F11299" w:rsidP="00F1129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77"/>
        <w:ind w:left="29" w:right="-187" w:firstLine="673"/>
        <w:jc w:val="both"/>
        <w:rPr>
          <w:color w:val="000000"/>
          <w:spacing w:val="2"/>
          <w:szCs w:val="28"/>
        </w:rPr>
      </w:pPr>
      <w:r>
        <w:rPr>
          <w:color w:val="000000"/>
          <w:spacing w:val="-18"/>
          <w:szCs w:val="28"/>
        </w:rPr>
        <w:t>5.</w:t>
      </w:r>
      <w:r>
        <w:rPr>
          <w:color w:val="000000"/>
          <w:szCs w:val="28"/>
        </w:rPr>
        <w:t xml:space="preserve"> </w:t>
      </w:r>
      <w:r>
        <w:rPr>
          <w:color w:val="000000"/>
          <w:spacing w:val="2"/>
          <w:szCs w:val="28"/>
        </w:rPr>
        <w:t>Рішення комісії, прийняті в  межах  її     компетенції, є рекомендованими для</w:t>
      </w:r>
      <w:r>
        <w:rPr>
          <w:color w:val="000000"/>
          <w:spacing w:val="-1"/>
          <w:szCs w:val="28"/>
        </w:rPr>
        <w:t xml:space="preserve"> розгляду обласними і місцевими органами влади, товаровиробниками,  переробними  підприємствами  та трейдерами.</w:t>
      </w:r>
    </w:p>
    <w:p w:rsidR="00F11299" w:rsidRDefault="00F11299" w:rsidP="00F1129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91"/>
        <w:ind w:left="29" w:firstLine="673"/>
        <w:jc w:val="both"/>
        <w:rPr>
          <w:szCs w:val="28"/>
        </w:rPr>
      </w:pPr>
      <w:r>
        <w:rPr>
          <w:color w:val="000000"/>
          <w:spacing w:val="-14"/>
          <w:szCs w:val="28"/>
        </w:rPr>
        <w:t>6.</w:t>
      </w:r>
      <w:r>
        <w:rPr>
          <w:color w:val="000000"/>
          <w:szCs w:val="28"/>
        </w:rPr>
        <w:t xml:space="preserve"> </w:t>
      </w:r>
      <w:r>
        <w:rPr>
          <w:color w:val="000000"/>
          <w:spacing w:val="6"/>
          <w:szCs w:val="28"/>
        </w:rPr>
        <w:t>Основною формою роботи комісії є  засідання, які  проводяться за</w:t>
      </w:r>
      <w:r>
        <w:rPr>
          <w:color w:val="000000"/>
          <w:spacing w:val="6"/>
          <w:szCs w:val="28"/>
        </w:rPr>
        <w:br/>
        <w:t>р</w:t>
      </w:r>
      <w:r>
        <w:rPr>
          <w:color w:val="000000"/>
          <w:szCs w:val="28"/>
        </w:rPr>
        <w:t>ішенням голови комісії по мірі необхідності, але не рідше одного разу на квартал.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spacing w:before="67"/>
        <w:ind w:left="29" w:right="14" w:firstLine="673"/>
        <w:jc w:val="both"/>
        <w:rPr>
          <w:szCs w:val="28"/>
        </w:rPr>
      </w:pPr>
      <w:r>
        <w:rPr>
          <w:color w:val="000000"/>
          <w:spacing w:val="11"/>
          <w:szCs w:val="28"/>
        </w:rPr>
        <w:t xml:space="preserve">Засідання комісії є правомочним, якщо на ньому присутні більше </w:t>
      </w:r>
      <w:r>
        <w:rPr>
          <w:color w:val="000000"/>
          <w:spacing w:val="2"/>
          <w:szCs w:val="28"/>
        </w:rPr>
        <w:t>половини її членів.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spacing w:before="77"/>
        <w:ind w:left="29" w:right="14" w:firstLine="673"/>
        <w:jc w:val="both"/>
        <w:rPr>
          <w:szCs w:val="28"/>
        </w:rPr>
      </w:pPr>
      <w:r>
        <w:rPr>
          <w:color w:val="000000"/>
          <w:spacing w:val="3"/>
          <w:szCs w:val="28"/>
        </w:rPr>
        <w:t xml:space="preserve">Проводить засідання голова комісії, а в разі його відсутності - заступник </w:t>
      </w:r>
      <w:r>
        <w:rPr>
          <w:color w:val="000000"/>
          <w:spacing w:val="-2"/>
          <w:szCs w:val="28"/>
        </w:rPr>
        <w:t>голови.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spacing w:before="77"/>
        <w:ind w:left="29" w:right="10" w:firstLine="673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Рішення комісії вважається прийнятим, якщо за нього проголосувало </w:t>
      </w:r>
      <w:r>
        <w:rPr>
          <w:color w:val="000000"/>
          <w:spacing w:val="3"/>
          <w:szCs w:val="28"/>
        </w:rPr>
        <w:t xml:space="preserve">більше половини присутніх членів комісії. У разі рівного розподілу голосів </w:t>
      </w:r>
      <w:r>
        <w:rPr>
          <w:color w:val="000000"/>
          <w:spacing w:val="4"/>
          <w:szCs w:val="28"/>
        </w:rPr>
        <w:t>вирішальним є голос головуючого на засіданні.</w:t>
      </w:r>
    </w:p>
    <w:p w:rsidR="00F11299" w:rsidRDefault="00F11299" w:rsidP="00F11299">
      <w:pPr>
        <w:widowControl w:val="0"/>
        <w:shd w:val="clear" w:color="auto" w:fill="FFFFFF"/>
        <w:autoSpaceDE w:val="0"/>
        <w:autoSpaceDN w:val="0"/>
        <w:adjustRightInd w:val="0"/>
        <w:spacing w:before="58"/>
        <w:ind w:left="29" w:right="10" w:firstLine="673"/>
        <w:jc w:val="both"/>
        <w:rPr>
          <w:szCs w:val="28"/>
        </w:rPr>
      </w:pPr>
      <w:r>
        <w:rPr>
          <w:color w:val="000000"/>
          <w:spacing w:val="3"/>
          <w:szCs w:val="28"/>
        </w:rPr>
        <w:t xml:space="preserve">Рішення комісії оформляється протоколом. Протокол підписується головуючим та </w:t>
      </w:r>
      <w:r>
        <w:rPr>
          <w:color w:val="000000"/>
          <w:spacing w:val="1"/>
          <w:szCs w:val="28"/>
        </w:rPr>
        <w:t>секретарем.</w:t>
      </w:r>
    </w:p>
    <w:p w:rsidR="00F11299" w:rsidRDefault="00F11299" w:rsidP="00F11299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62"/>
        <w:ind w:left="29" w:firstLine="673"/>
        <w:jc w:val="both"/>
        <w:rPr>
          <w:szCs w:val="28"/>
        </w:rPr>
      </w:pPr>
      <w:r>
        <w:rPr>
          <w:color w:val="000000"/>
          <w:spacing w:val="-17"/>
          <w:szCs w:val="28"/>
        </w:rPr>
        <w:t>7.</w:t>
      </w:r>
      <w:r>
        <w:rPr>
          <w:color w:val="000000"/>
          <w:szCs w:val="28"/>
        </w:rPr>
        <w:t xml:space="preserve"> </w:t>
      </w:r>
      <w:r>
        <w:rPr>
          <w:color w:val="000000"/>
          <w:spacing w:val="3"/>
          <w:szCs w:val="28"/>
        </w:rPr>
        <w:t>Організаційне    забезпечення     роботи    комісії  здійснює  інспекція якості та формування ресурсів сільськогосподарської продукції облдержадміністрації</w:t>
      </w:r>
      <w:r>
        <w:rPr>
          <w:color w:val="000000"/>
          <w:spacing w:val="4"/>
          <w:szCs w:val="28"/>
        </w:rPr>
        <w:t>.</w:t>
      </w:r>
    </w:p>
    <w:p w:rsidR="00F11299" w:rsidRDefault="00F11299" w:rsidP="00F11299">
      <w:pPr>
        <w:ind w:left="29" w:firstLine="673"/>
        <w:jc w:val="both"/>
      </w:pPr>
    </w:p>
    <w:p w:rsidR="00F11299" w:rsidRDefault="00F11299" w:rsidP="00F11299"/>
    <w:p w:rsidR="00F11299" w:rsidRDefault="00F11299" w:rsidP="00F11299"/>
    <w:p w:rsidR="00F11299" w:rsidRDefault="00F11299" w:rsidP="00F11299">
      <w:r>
        <w:t>Заступник голови -</w:t>
      </w:r>
    </w:p>
    <w:p w:rsidR="00F11299" w:rsidRDefault="00F11299" w:rsidP="00F11299">
      <w:r>
        <w:t>керівник апарату</w:t>
      </w:r>
    </w:p>
    <w:p w:rsidR="00F11299" w:rsidRDefault="00F11299" w:rsidP="00F11299">
      <w:r>
        <w:t xml:space="preserve">облдержадміністрації                                 </w:t>
      </w:r>
      <w:r>
        <w:tab/>
      </w:r>
      <w:r>
        <w:tab/>
      </w:r>
      <w:r>
        <w:tab/>
        <w:t xml:space="preserve">            С.А. Соловей</w:t>
      </w:r>
    </w:p>
    <w:p w:rsidR="00F870F7" w:rsidRDefault="00F870F7"/>
    <w:sectPr w:rsidR="00F870F7" w:rsidSect="005D321C">
      <w:headerReference w:type="even" r:id="rId6"/>
      <w:headerReference w:type="default" r:id="rId7"/>
      <w:pgSz w:w="11906" w:h="16838"/>
      <w:pgMar w:top="28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321C" w:rsidRDefault="005D321C">
      <w:r>
        <w:separator/>
      </w:r>
    </w:p>
  </w:endnote>
  <w:endnote w:type="continuationSeparator" w:id="0">
    <w:p w:rsidR="005D321C" w:rsidRDefault="005D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321C" w:rsidRDefault="005D321C">
      <w:r>
        <w:separator/>
      </w:r>
    </w:p>
  </w:footnote>
  <w:footnote w:type="continuationSeparator" w:id="0">
    <w:p w:rsidR="005D321C" w:rsidRDefault="005D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299" w:rsidRDefault="00F11299" w:rsidP="005D32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1299" w:rsidRDefault="00F11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299" w:rsidRDefault="00F11299" w:rsidP="005D32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11299" w:rsidRDefault="00F112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299"/>
    <w:rsid w:val="00084844"/>
    <w:rsid w:val="000D2F32"/>
    <w:rsid w:val="0026315A"/>
    <w:rsid w:val="00514504"/>
    <w:rsid w:val="005D321C"/>
    <w:rsid w:val="00D5425B"/>
    <w:rsid w:val="00EC6895"/>
    <w:rsid w:val="00F11299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822BA-86F2-42FD-8103-80CE4C34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299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F11299"/>
    <w:pPr>
      <w:keepNext/>
      <w:jc w:val="right"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F11299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F11299"/>
    <w:pPr>
      <w:tabs>
        <w:tab w:val="left" w:pos="1280"/>
      </w:tabs>
      <w:ind w:left="-187" w:right="-91" w:firstLine="187"/>
    </w:pPr>
    <w:rPr>
      <w:b/>
      <w:bCs/>
      <w:sz w:val="32"/>
    </w:rPr>
  </w:style>
  <w:style w:type="table" w:styleId="TableGrid">
    <w:name w:val="Table Grid"/>
    <w:basedOn w:val="TableNormal"/>
    <w:rsid w:val="00F1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112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1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MoBIL GROUP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vera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