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5778"/>
        <w:gridCol w:w="4075"/>
      </w:tblGrid>
      <w:tr w:rsidR="00D87F07" w:rsidRPr="006C7393" w:rsidTr="00D87F0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D87F07" w:rsidRPr="006D0FEE" w:rsidRDefault="00D87F07" w:rsidP="00D87F07">
            <w:pPr>
              <w:rPr>
                <w:sz w:val="28"/>
                <w:szCs w:val="28"/>
              </w:rPr>
            </w:pPr>
            <w:r w:rsidRPr="006D0FEE">
              <w:rPr>
                <w:sz w:val="28"/>
                <w:szCs w:val="28"/>
              </w:rPr>
              <w:br w:type="page"/>
            </w:r>
          </w:p>
        </w:tc>
        <w:tc>
          <w:tcPr>
            <w:tcW w:w="4075" w:type="dxa"/>
          </w:tcPr>
          <w:p w:rsidR="00D87F07" w:rsidRPr="001B2DBD" w:rsidRDefault="00D87F07" w:rsidP="00D87F07">
            <w:pPr>
              <w:rPr>
                <w:sz w:val="28"/>
                <w:szCs w:val="28"/>
              </w:rPr>
            </w:pPr>
            <w:r w:rsidRPr="001B2DBD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</w:tc>
      </w:tr>
      <w:tr w:rsidR="00D87F07" w:rsidRPr="006C7393" w:rsidTr="00D87F0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D87F07" w:rsidRPr="006D0FEE" w:rsidRDefault="00D87F07" w:rsidP="00D87F07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D87F07" w:rsidRPr="006D0FEE" w:rsidRDefault="00D87F07" w:rsidP="00D87F07">
            <w:pPr>
              <w:rPr>
                <w:sz w:val="28"/>
                <w:szCs w:val="28"/>
              </w:rPr>
            </w:pPr>
            <w:r w:rsidRPr="006D0FEE">
              <w:rPr>
                <w:sz w:val="28"/>
                <w:szCs w:val="28"/>
              </w:rPr>
              <w:t xml:space="preserve">Розпорядження голови облдержадміністрації </w:t>
            </w:r>
          </w:p>
          <w:p w:rsidR="00D87F07" w:rsidRPr="006D0FEE" w:rsidRDefault="00D87F07" w:rsidP="00D87F07">
            <w:pPr>
              <w:rPr>
                <w:sz w:val="28"/>
                <w:szCs w:val="28"/>
              </w:rPr>
            </w:pPr>
            <w:r w:rsidRPr="006D0FEE">
              <w:rPr>
                <w:sz w:val="28"/>
                <w:szCs w:val="28"/>
              </w:rPr>
              <w:t xml:space="preserve">09.09.2010 № 336 </w:t>
            </w:r>
          </w:p>
        </w:tc>
      </w:tr>
    </w:tbl>
    <w:p w:rsidR="00D87F07" w:rsidRPr="00C40065" w:rsidRDefault="00D87F07" w:rsidP="00D87F07">
      <w:pPr>
        <w:ind w:firstLine="720"/>
        <w:jc w:val="center"/>
      </w:pPr>
    </w:p>
    <w:p w:rsidR="00D87F07" w:rsidRPr="00C40065" w:rsidRDefault="00D87F07" w:rsidP="00D87F07">
      <w:pPr>
        <w:ind w:firstLine="720"/>
        <w:jc w:val="center"/>
      </w:pPr>
    </w:p>
    <w:p w:rsidR="00D87F07" w:rsidRPr="00C40065" w:rsidRDefault="00D87F07" w:rsidP="00D87F07">
      <w:pPr>
        <w:ind w:firstLine="720"/>
        <w:jc w:val="center"/>
        <w:rPr>
          <w:sz w:val="28"/>
          <w:szCs w:val="28"/>
        </w:rPr>
      </w:pPr>
      <w:r w:rsidRPr="00C40065">
        <w:rPr>
          <w:sz w:val="28"/>
          <w:szCs w:val="28"/>
        </w:rPr>
        <w:t>ПОЛОЖЕННЯ</w:t>
      </w:r>
    </w:p>
    <w:p w:rsidR="00D87F07" w:rsidRPr="00C40065" w:rsidRDefault="00D87F07" w:rsidP="00D87F07">
      <w:pPr>
        <w:ind w:firstLine="720"/>
        <w:jc w:val="center"/>
        <w:rPr>
          <w:sz w:val="28"/>
          <w:szCs w:val="28"/>
        </w:rPr>
      </w:pPr>
      <w:r w:rsidRPr="00C40065">
        <w:rPr>
          <w:sz w:val="28"/>
          <w:szCs w:val="28"/>
        </w:rPr>
        <w:t>про науково-технічну раду з питань інформатизації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</w:p>
    <w:p w:rsidR="00D87F07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40065">
        <w:rPr>
          <w:sz w:val="28"/>
          <w:szCs w:val="28"/>
        </w:rPr>
        <w:t xml:space="preserve">Науково-технічна рада з питань інформатизації (далі – НТР) є </w:t>
      </w:r>
      <w:r>
        <w:rPr>
          <w:sz w:val="28"/>
          <w:szCs w:val="28"/>
        </w:rPr>
        <w:t>консультативно-</w:t>
      </w:r>
      <w:r w:rsidRPr="00C40065">
        <w:rPr>
          <w:sz w:val="28"/>
          <w:szCs w:val="28"/>
        </w:rPr>
        <w:t>дорадчим органом при обласній державній адміністрації</w:t>
      </w:r>
      <w:r>
        <w:rPr>
          <w:sz w:val="28"/>
          <w:szCs w:val="28"/>
        </w:rPr>
        <w:t>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 xml:space="preserve">2. У своїй діяльності НТР </w:t>
      </w:r>
      <w:r>
        <w:rPr>
          <w:sz w:val="28"/>
          <w:szCs w:val="28"/>
        </w:rPr>
        <w:t>к</w:t>
      </w:r>
      <w:r w:rsidRPr="00C40065">
        <w:rPr>
          <w:sz w:val="28"/>
          <w:szCs w:val="28"/>
        </w:rPr>
        <w:t>ерується Конституцією та законами України, актами Президента України, Кабінету Міністрів України, що стосуються сфери інформатизації, а також цим Положенням.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>3. Основними завданнями НТР є: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40065">
        <w:rPr>
          <w:sz w:val="28"/>
          <w:szCs w:val="28"/>
        </w:rPr>
        <w:t xml:space="preserve">наліз сучасного стану інформатизації в </w:t>
      </w:r>
      <w:r>
        <w:rPr>
          <w:sz w:val="28"/>
          <w:szCs w:val="28"/>
        </w:rPr>
        <w:t>області</w:t>
      </w:r>
      <w:r w:rsidRPr="00C40065">
        <w:rPr>
          <w:sz w:val="28"/>
          <w:szCs w:val="28"/>
        </w:rPr>
        <w:t xml:space="preserve"> та розроблення пропозицій і рекомендацій щодо формування та реалізації регіональної політики інформатизації, стратегії розвитку інформатизації усіх сфер суспільного життя, проектів нормативно-правових актів з питань інформатизації</w:t>
      </w:r>
      <w:r>
        <w:rPr>
          <w:sz w:val="28"/>
          <w:szCs w:val="28"/>
        </w:rPr>
        <w:t>;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40065">
        <w:rPr>
          <w:sz w:val="28"/>
          <w:szCs w:val="28"/>
        </w:rPr>
        <w:t>озроблення пропозицій щодо стратегічних цілей, основних принципів та пріоритетних напрямів програми інформатизації</w:t>
      </w:r>
      <w:r>
        <w:rPr>
          <w:sz w:val="28"/>
          <w:szCs w:val="28"/>
        </w:rPr>
        <w:t xml:space="preserve"> області</w:t>
      </w:r>
      <w:r w:rsidRPr="00C40065">
        <w:rPr>
          <w:sz w:val="28"/>
          <w:szCs w:val="28"/>
        </w:rPr>
        <w:t>, очікуваних наслідків її реалізації</w:t>
      </w:r>
      <w:r>
        <w:rPr>
          <w:sz w:val="28"/>
          <w:szCs w:val="28"/>
        </w:rPr>
        <w:t>;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40065">
        <w:rPr>
          <w:sz w:val="28"/>
          <w:szCs w:val="28"/>
        </w:rPr>
        <w:t>озгляд пропозицій та надання рекомендацій щодо формування завдань (проектів) програми інформатизації</w:t>
      </w:r>
      <w:r>
        <w:rPr>
          <w:sz w:val="28"/>
          <w:szCs w:val="28"/>
        </w:rPr>
        <w:t xml:space="preserve"> області</w:t>
      </w:r>
      <w:r w:rsidRPr="00C40065">
        <w:rPr>
          <w:sz w:val="28"/>
          <w:szCs w:val="28"/>
        </w:rPr>
        <w:t>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40065">
        <w:rPr>
          <w:sz w:val="28"/>
          <w:szCs w:val="28"/>
        </w:rPr>
        <w:t xml:space="preserve">озгляд проекту щорічної доповіді про стан інформатизації в </w:t>
      </w:r>
      <w:r>
        <w:rPr>
          <w:sz w:val="28"/>
          <w:szCs w:val="28"/>
        </w:rPr>
        <w:t>області</w:t>
      </w:r>
      <w:r w:rsidRPr="00C40065">
        <w:rPr>
          <w:sz w:val="28"/>
          <w:szCs w:val="28"/>
        </w:rPr>
        <w:t>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>4. НТР має право: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0065">
        <w:rPr>
          <w:sz w:val="28"/>
          <w:szCs w:val="28"/>
        </w:rPr>
        <w:t>роводити попередній розгляд проектів організаційно-розпорядчих документів щодо формування та виконання програми інформатизації</w:t>
      </w:r>
      <w:r>
        <w:rPr>
          <w:sz w:val="28"/>
          <w:szCs w:val="28"/>
        </w:rPr>
        <w:t xml:space="preserve"> області;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40065">
        <w:rPr>
          <w:sz w:val="28"/>
          <w:szCs w:val="28"/>
        </w:rPr>
        <w:t xml:space="preserve">алучати до роботи представників місцевих органів виконавчої влади та органів місцевого самоврядування, підприємств, установ та організацій, </w:t>
      </w:r>
      <w:r>
        <w:rPr>
          <w:sz w:val="28"/>
          <w:szCs w:val="28"/>
        </w:rPr>
        <w:t xml:space="preserve">за згодою їх керівників, </w:t>
      </w:r>
      <w:r w:rsidRPr="00C40065">
        <w:rPr>
          <w:sz w:val="28"/>
          <w:szCs w:val="28"/>
        </w:rPr>
        <w:t>провідних вчених та спеціалістів для вирішення питань щодо формування та виконання програми інформатизації</w:t>
      </w:r>
      <w:r>
        <w:rPr>
          <w:sz w:val="28"/>
          <w:szCs w:val="28"/>
        </w:rPr>
        <w:t xml:space="preserve"> області;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40065">
        <w:rPr>
          <w:sz w:val="28"/>
          <w:szCs w:val="28"/>
        </w:rPr>
        <w:t>дійснювати експертизу завдань (проектів) програми інформатизації</w:t>
      </w:r>
      <w:r>
        <w:rPr>
          <w:sz w:val="28"/>
          <w:szCs w:val="28"/>
        </w:rPr>
        <w:t xml:space="preserve"> області</w:t>
      </w:r>
      <w:r w:rsidRPr="00C40065">
        <w:rPr>
          <w:sz w:val="28"/>
          <w:szCs w:val="28"/>
        </w:rPr>
        <w:t>.</w:t>
      </w:r>
    </w:p>
    <w:p w:rsidR="00D87F07" w:rsidRPr="00996EC4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6EC4">
        <w:rPr>
          <w:sz w:val="28"/>
          <w:szCs w:val="28"/>
        </w:rPr>
        <w:t>.</w:t>
      </w:r>
      <w:r>
        <w:rPr>
          <w:sz w:val="28"/>
          <w:szCs w:val="28"/>
        </w:rPr>
        <w:t> НТР</w:t>
      </w:r>
      <w:r w:rsidRPr="00996EC4">
        <w:rPr>
          <w:sz w:val="28"/>
          <w:szCs w:val="28"/>
        </w:rPr>
        <w:t xml:space="preserve"> утворюється у складі голови, заступник</w:t>
      </w:r>
      <w:r>
        <w:rPr>
          <w:sz w:val="28"/>
          <w:szCs w:val="28"/>
        </w:rPr>
        <w:t>а</w:t>
      </w:r>
      <w:r w:rsidRPr="00996EC4">
        <w:rPr>
          <w:sz w:val="28"/>
          <w:szCs w:val="28"/>
        </w:rPr>
        <w:t xml:space="preserve"> голови,</w:t>
      </w:r>
      <w:r>
        <w:rPr>
          <w:sz w:val="28"/>
          <w:szCs w:val="28"/>
        </w:rPr>
        <w:t xml:space="preserve"> відповідального </w:t>
      </w:r>
      <w:r w:rsidRPr="00996EC4">
        <w:rPr>
          <w:sz w:val="28"/>
          <w:szCs w:val="28"/>
        </w:rPr>
        <w:t xml:space="preserve">секретаря та членів </w:t>
      </w:r>
      <w:r>
        <w:rPr>
          <w:sz w:val="28"/>
          <w:szCs w:val="28"/>
        </w:rPr>
        <w:t>НТР</w:t>
      </w:r>
      <w:r w:rsidRPr="00996EC4">
        <w:rPr>
          <w:sz w:val="28"/>
          <w:szCs w:val="28"/>
        </w:rPr>
        <w:t>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996EC4">
        <w:rPr>
          <w:sz w:val="28"/>
          <w:szCs w:val="28"/>
        </w:rPr>
        <w:t xml:space="preserve">Персональний склад </w:t>
      </w:r>
      <w:r>
        <w:rPr>
          <w:sz w:val="28"/>
          <w:szCs w:val="28"/>
        </w:rPr>
        <w:t>НТР</w:t>
      </w:r>
      <w:r w:rsidRPr="00996EC4">
        <w:rPr>
          <w:sz w:val="28"/>
          <w:szCs w:val="28"/>
        </w:rPr>
        <w:t xml:space="preserve"> затверджує </w:t>
      </w:r>
      <w:r w:rsidRPr="00C40065">
        <w:rPr>
          <w:sz w:val="28"/>
          <w:szCs w:val="28"/>
        </w:rPr>
        <w:t>голов</w:t>
      </w:r>
      <w:r>
        <w:rPr>
          <w:sz w:val="28"/>
          <w:szCs w:val="28"/>
        </w:rPr>
        <w:t>а</w:t>
      </w:r>
      <w:r w:rsidRPr="00C40065">
        <w:rPr>
          <w:sz w:val="28"/>
          <w:szCs w:val="28"/>
        </w:rPr>
        <w:t xml:space="preserve"> обласної державної адміністрації.</w:t>
      </w:r>
    </w:p>
    <w:p w:rsidR="00D87F07" w:rsidRDefault="00D87F07" w:rsidP="00D87F07">
      <w:pPr>
        <w:ind w:firstLine="720"/>
        <w:jc w:val="both"/>
        <w:rPr>
          <w:sz w:val="28"/>
          <w:szCs w:val="28"/>
        </w:rPr>
      </w:pPr>
      <w:r w:rsidRPr="00996EC4">
        <w:rPr>
          <w:sz w:val="28"/>
          <w:szCs w:val="28"/>
        </w:rPr>
        <w:t>Голова, заступник</w:t>
      </w:r>
      <w:r>
        <w:rPr>
          <w:sz w:val="28"/>
          <w:szCs w:val="28"/>
        </w:rPr>
        <w:t xml:space="preserve"> </w:t>
      </w:r>
      <w:r w:rsidRPr="00996EC4">
        <w:rPr>
          <w:sz w:val="28"/>
          <w:szCs w:val="28"/>
        </w:rPr>
        <w:t xml:space="preserve">голови, </w:t>
      </w:r>
      <w:r w:rsidRPr="00C40065">
        <w:rPr>
          <w:sz w:val="28"/>
          <w:szCs w:val="28"/>
        </w:rPr>
        <w:t>відповідальний секретар</w:t>
      </w:r>
      <w:r w:rsidRPr="00996EC4">
        <w:rPr>
          <w:sz w:val="28"/>
          <w:szCs w:val="28"/>
        </w:rPr>
        <w:t xml:space="preserve"> та члени </w:t>
      </w:r>
      <w:r>
        <w:rPr>
          <w:sz w:val="28"/>
          <w:szCs w:val="28"/>
        </w:rPr>
        <w:t>НТР</w:t>
      </w:r>
      <w:r w:rsidRPr="00996EC4">
        <w:rPr>
          <w:sz w:val="28"/>
          <w:szCs w:val="28"/>
        </w:rPr>
        <w:t xml:space="preserve"> беруть</w:t>
      </w:r>
      <w:r>
        <w:rPr>
          <w:sz w:val="28"/>
          <w:szCs w:val="28"/>
        </w:rPr>
        <w:t xml:space="preserve"> </w:t>
      </w:r>
      <w:r w:rsidRPr="00996EC4">
        <w:rPr>
          <w:sz w:val="28"/>
          <w:szCs w:val="28"/>
        </w:rPr>
        <w:t xml:space="preserve">участь в її роботі на громадських засадах. </w:t>
      </w:r>
    </w:p>
    <w:p w:rsidR="00D87F07" w:rsidRPr="00996EC4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>У разі відсутності голови НТР його обов’язки виконує заступник.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 xml:space="preserve">6. Організаційною формою роботи НТР є засідання, які проводяться відповідно до затвердженого нею плану роботи, але не рідше одного разу в </w:t>
      </w:r>
      <w:r>
        <w:rPr>
          <w:sz w:val="28"/>
          <w:szCs w:val="28"/>
        </w:rPr>
        <w:t>пів</w:t>
      </w:r>
      <w:r w:rsidRPr="00C40065">
        <w:rPr>
          <w:sz w:val="28"/>
          <w:szCs w:val="28"/>
        </w:rPr>
        <w:t>р</w:t>
      </w:r>
      <w:r>
        <w:rPr>
          <w:sz w:val="28"/>
          <w:szCs w:val="28"/>
        </w:rPr>
        <w:t>іччя</w:t>
      </w:r>
      <w:r w:rsidRPr="00C40065">
        <w:rPr>
          <w:sz w:val="28"/>
          <w:szCs w:val="28"/>
        </w:rPr>
        <w:t xml:space="preserve">. Засідання вважається правомочним, якщо на ньому присутня більшість її членів. Рішення НТР приймаються відкритим голосуванням </w:t>
      </w:r>
      <w:r w:rsidRPr="00C40065">
        <w:rPr>
          <w:sz w:val="28"/>
          <w:szCs w:val="28"/>
        </w:rPr>
        <w:lastRenderedPageBreak/>
        <w:t xml:space="preserve">простою більшістю голосів присутніх на засіданні її членів. У разі рівного розподілу голосів вирішальним є голос голови НТР. 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>7. Рішення НТР, прийняті на засіданні, оформляються протоколом, який підписує голова та відповідальний секретар НТР.</w:t>
      </w:r>
    </w:p>
    <w:p w:rsidR="00D87F07" w:rsidRPr="00C40065" w:rsidRDefault="00D87F07" w:rsidP="00D87F07">
      <w:pPr>
        <w:ind w:firstLine="720"/>
        <w:jc w:val="both"/>
        <w:rPr>
          <w:sz w:val="28"/>
          <w:szCs w:val="28"/>
        </w:rPr>
      </w:pPr>
      <w:r w:rsidRPr="00C40065">
        <w:rPr>
          <w:sz w:val="28"/>
          <w:szCs w:val="28"/>
        </w:rPr>
        <w:t>8. Відповідальний секретар НТР забезпечує підготовку і проведення засідань НТР, оформлює рішення НТР, контролює виконання прийнятих рішень НТР.</w:t>
      </w:r>
    </w:p>
    <w:p w:rsidR="00D87F07" w:rsidRDefault="00D87F07" w:rsidP="00D87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40065">
        <w:rPr>
          <w:sz w:val="28"/>
          <w:szCs w:val="28"/>
        </w:rPr>
        <w:t>. Для вивчення і підготовки висновків з актуальних проблем формування та виконання регіональної програми інформатизації рішенням голови НТР можуть створюватися тимчасові робочі групи. Склад тимчасових робочих груп та їх ке</w:t>
      </w:r>
      <w:r>
        <w:rPr>
          <w:sz w:val="28"/>
          <w:szCs w:val="28"/>
        </w:rPr>
        <w:t>рівників затверджує голова НТР.</w:t>
      </w:r>
    </w:p>
    <w:p w:rsidR="00D87F07" w:rsidRPr="00996EC4" w:rsidRDefault="00D87F07" w:rsidP="00D87F07">
      <w:pPr>
        <w:ind w:firstLine="720"/>
        <w:jc w:val="both"/>
        <w:rPr>
          <w:sz w:val="28"/>
          <w:szCs w:val="28"/>
        </w:rPr>
      </w:pPr>
      <w:r w:rsidRPr="00996EC4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996EC4">
        <w:rPr>
          <w:sz w:val="28"/>
          <w:szCs w:val="28"/>
        </w:rPr>
        <w:t xml:space="preserve">Організаційно-технічне забезпечення роботи </w:t>
      </w:r>
      <w:r>
        <w:rPr>
          <w:sz w:val="28"/>
          <w:szCs w:val="28"/>
        </w:rPr>
        <w:t xml:space="preserve">НТР </w:t>
      </w:r>
      <w:r w:rsidRPr="00996EC4">
        <w:rPr>
          <w:sz w:val="28"/>
          <w:szCs w:val="28"/>
        </w:rPr>
        <w:t>здійснює</w:t>
      </w:r>
      <w:r>
        <w:rPr>
          <w:sz w:val="28"/>
          <w:szCs w:val="28"/>
        </w:rPr>
        <w:t xml:space="preserve"> відділ інформаційно-комп’ютерного забезпечення апарату облдержадміністрації</w:t>
      </w:r>
      <w:r w:rsidRPr="00996EC4">
        <w:rPr>
          <w:sz w:val="28"/>
          <w:szCs w:val="28"/>
        </w:rPr>
        <w:t>.</w:t>
      </w:r>
    </w:p>
    <w:p w:rsidR="00D87F07" w:rsidRDefault="00D87F07" w:rsidP="00D87F07">
      <w:pPr>
        <w:ind w:firstLine="720"/>
        <w:jc w:val="both"/>
        <w:rPr>
          <w:sz w:val="28"/>
          <w:szCs w:val="28"/>
        </w:rPr>
      </w:pPr>
    </w:p>
    <w:p w:rsidR="00D87F07" w:rsidRDefault="00D87F07" w:rsidP="00D87F07">
      <w:pPr>
        <w:ind w:firstLine="720"/>
        <w:jc w:val="both"/>
        <w:rPr>
          <w:sz w:val="28"/>
          <w:szCs w:val="28"/>
        </w:rPr>
      </w:pPr>
    </w:p>
    <w:p w:rsidR="00D87F07" w:rsidRPr="00D86506" w:rsidRDefault="00D87F07" w:rsidP="00D87F07">
      <w:pPr>
        <w:jc w:val="both"/>
        <w:rPr>
          <w:sz w:val="28"/>
          <w:szCs w:val="28"/>
        </w:rPr>
      </w:pPr>
      <w:r w:rsidRPr="00D86506">
        <w:rPr>
          <w:sz w:val="28"/>
          <w:szCs w:val="28"/>
        </w:rPr>
        <w:t>Заступник голови – керівник</w:t>
      </w:r>
    </w:p>
    <w:p w:rsidR="00D87F07" w:rsidRPr="005271AA" w:rsidRDefault="00D87F07" w:rsidP="00D87F07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sectPr w:rsidR="00D87F07" w:rsidRPr="005271AA" w:rsidSect="00D87F07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850" w:right="850" w:bottom="850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80C9A">
      <w:r>
        <w:separator/>
      </w:r>
    </w:p>
  </w:endnote>
  <w:endnote w:type="continuationSeparator" w:id="0">
    <w:p w:rsidR="00000000" w:rsidRDefault="0068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736" w:rsidRDefault="00B3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0736" w:rsidRDefault="00B307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736" w:rsidRDefault="00B307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80C9A">
      <w:r>
        <w:separator/>
      </w:r>
    </w:p>
  </w:footnote>
  <w:footnote w:type="continuationSeparator" w:id="0">
    <w:p w:rsidR="00000000" w:rsidRDefault="0068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736" w:rsidRDefault="00B307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0736" w:rsidRDefault="00B307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0736" w:rsidRDefault="00B307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0736" w:rsidRDefault="00B3073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F07"/>
    <w:rsid w:val="001E0260"/>
    <w:rsid w:val="00271E75"/>
    <w:rsid w:val="00680C9A"/>
    <w:rsid w:val="009E63D0"/>
    <w:rsid w:val="00B30736"/>
    <w:rsid w:val="00D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3CAEA-74E7-4845-93CE-A7F53956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F07"/>
    <w:rPr>
      <w:rFonts w:ascii="CG Times (W1)" w:hAnsi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87F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7F07"/>
  </w:style>
  <w:style w:type="paragraph" w:styleId="Header">
    <w:name w:val="header"/>
    <w:basedOn w:val="Normal"/>
    <w:rsid w:val="00D87F0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