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Довідкова інформація щодо виконання </w:t>
        <w:br w:type="textWrapping"/>
        <w:t xml:space="preserve">Плану заходів на 2025 рік з реалізації Національної стратегії із створення безбар’єрного простору </w:t>
      </w:r>
      <w:r w:rsidDel="00000000" w:rsidR="00000000" w:rsidRPr="00000000">
        <w:rPr>
          <w:rFonts w:ascii="Times New Roman" w:cs="Times New Roman" w:eastAsia="Times New Roman" w:hAnsi="Times New Roman"/>
          <w:b w:val="1"/>
          <w:sz w:val="28"/>
          <w:szCs w:val="28"/>
          <w:highlight w:val="white"/>
          <w:rtl w:val="0"/>
        </w:rPr>
        <w:t xml:space="preserve">в Україні на період до 2030 року.</w:t>
      </w:r>
      <w:r w:rsidDel="00000000" w:rsidR="00000000" w:rsidRPr="00000000">
        <w:rPr>
          <w:rtl w:val="0"/>
        </w:rPr>
      </w:r>
    </w:p>
    <w:p w:rsidR="00000000" w:rsidDel="00000000" w:rsidP="00000000" w:rsidRDefault="00000000" w:rsidRPr="00000000" w14:paraId="00000002">
      <w:pPr>
        <w:spacing w:after="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67.42.н) забезпечення доступності послуги “Муніципальна няня”</w:t>
      </w:r>
    </w:p>
    <w:p w:rsidR="00000000" w:rsidDel="00000000" w:rsidP="00000000" w:rsidRDefault="00000000" w:rsidRPr="00000000" w14:paraId="00000003">
      <w:pPr>
        <w:spacing w:after="0" w:lineRule="auto"/>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spacing w:after="0" w:lineRule="auto"/>
        <w:ind w:firstLine="3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рамках виконання Національної стратегії із створення безбарʼєрного простору в Україні</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одним із важливих аспектів є забезпечення</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економічної незалежності сімей в Україні, усунення барʼєрів в доступі батьків до економічної незалежності, а дітей – до отримання належного якісного догляду та всебічного розвитку.</w:t>
      </w:r>
    </w:p>
    <w:p w:rsidR="00000000" w:rsidDel="00000000" w:rsidP="00000000" w:rsidRDefault="00000000" w:rsidRPr="00000000" w14:paraId="00000005">
      <w:pPr>
        <w:spacing w:after="0" w:lineRule="auto"/>
        <w:ind w:firstLine="3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 метою підвищення соціального захисту родин, починаючи з 2019 року, запроваджено соціальну програму “муніципальна няня”. Відповідний механізм визначає постанова Кабінету Міністрів України від 30.01.2019 № 68 “Деякі питання надання послуги з догляду за дитиною до трьох років “муніципальна няня”.</w:t>
      </w:r>
    </w:p>
    <w:p w:rsidR="00000000" w:rsidDel="00000000" w:rsidP="00000000" w:rsidRDefault="00000000" w:rsidRPr="00000000" w14:paraId="00000006">
      <w:pPr>
        <w:spacing w:after="0" w:lineRule="auto"/>
        <w:ind w:firstLine="3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Суть програми полягає в частковій компенсації батькам (опікунам) дитини вартості послуг няні, що доглядає за дитиною до трьох років,</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яка потребує додаткового догляду або якщо один із батьків (опікунів) є особою з інвалідністю I чи II групи.</w:t>
      </w:r>
    </w:p>
    <w:p w:rsidR="00000000" w:rsidDel="00000000" w:rsidP="00000000" w:rsidRDefault="00000000" w:rsidRPr="00000000" w14:paraId="00000007">
      <w:pPr>
        <w:spacing w:after="0" w:lineRule="auto"/>
        <w:ind w:firstLine="3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11.06.2024 розширено перелік категорій громадян, які можуть скористатися послугою “муніципальної няні” на період воєнного стану та протягом трьох місяців після його припинення або скасування” (постанова Кабінету Міністрів України від 07.06.2024 № 664). Це сім’ї, в яких є: діти до 3 років внутрішньо переміщених осіб; діти до 6 років, які потребують додаткового догляду; діти до 6 років, у кого один з батьків  є особою з інвалідністю I чи II групи; діти до 6 років, які проживають на територіях адміністративно-територіальних одиниць, де неможливо забезпечити функціонування закладів дошкільної освіти.</w:t>
      </w:r>
    </w:p>
    <w:p w:rsidR="00000000" w:rsidDel="00000000" w:rsidP="00000000" w:rsidRDefault="00000000" w:rsidRPr="00000000" w14:paraId="00000008">
      <w:pPr>
        <w:spacing w:after="0" w:lineRule="auto"/>
        <w:ind w:firstLine="3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Послугу з догляду “муніципальна няня” на підставі укладеного договору може надавати будь-яка фізична особа-підприємець чи юридична особа, яка має право на здійснення відповідних видів економічної діяльності, за винятком державних і комунальних закладів дошкільної освіти, а також родичів першого ступеня споріднення.</w:t>
      </w:r>
    </w:p>
    <w:p w:rsidR="00000000" w:rsidDel="00000000" w:rsidP="00000000" w:rsidRDefault="00000000" w:rsidRPr="00000000" w14:paraId="00000009">
      <w:pPr>
        <w:spacing w:after="0" w:lineRule="auto"/>
        <w:ind w:firstLine="3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Компенсація послуги “муніципальна няня” виплачується в розмірі 100 відсотків мінімальної заробітної плати у погодинному розмірі, установленої на 1 січня відповідного року (у 2025 році – 48,00 грн), за одну годину догляду, але не більше ніж 165 годин на місяць.</w:t>
      </w:r>
    </w:p>
    <w:p w:rsidR="00000000" w:rsidDel="00000000" w:rsidP="00000000" w:rsidRDefault="00000000" w:rsidRPr="00000000" w14:paraId="0000000A">
      <w:pPr>
        <w:spacing w:after="0" w:lineRule="auto"/>
        <w:ind w:firstLine="3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цьому розмір компенсації не може перевищувати фактичну вартість послуги  “муніципальна няня”, сплачену заявником. Максимальний розмір компенсації у 2025 році становить 7 920,0 грн на місяць.</w:t>
      </w:r>
    </w:p>
    <w:p w:rsidR="00000000" w:rsidDel="00000000" w:rsidP="00000000" w:rsidRDefault="00000000" w:rsidRPr="00000000" w14:paraId="0000000B">
      <w:pPr>
        <w:spacing w:after="0" w:lineRule="auto"/>
        <w:ind w:firstLine="3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Полтавській області станом на 01.10.2025 компенсацію послуги “муніципальна няня” отримують 56 сімей. Згідно укладених договорів про здійснення догляду за дитиною відповідну послугу родинам надають 58 фізичних осіб-підприємців та 6 юридичних осіб.</w:t>
      </w:r>
    </w:p>
    <w:p w:rsidR="00000000" w:rsidDel="00000000" w:rsidP="00000000" w:rsidRDefault="00000000" w:rsidRPr="00000000" w14:paraId="0000000C">
      <w:pPr>
        <w:spacing w:after="0" w:lineRule="auto"/>
        <w:ind w:firstLine="3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Виплата компенсації послуги “муніципальна няня” здійснюється щомісяця на підставі поданих заявником документів, що підтверджують здійснення догляду за дитиною (акт про надану послугу “муніципальна няня”), а також витрати на оплату послуги няні (виписка з банківського рахунка, касовий чек, товарний чек, розрахункова квитанція).</w:t>
      </w:r>
    </w:p>
    <w:p w:rsidR="00000000" w:rsidDel="00000000" w:rsidP="00000000" w:rsidRDefault="00000000" w:rsidRPr="00000000" w14:paraId="0000000D">
      <w:pPr>
        <w:spacing w:after="0" w:lineRule="auto"/>
        <w:ind w:firstLine="3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огляду на те, що прийом документів для оформлення зазначеної компенсації, крім управлінь соціального захисту населення, здійснюється також уповноваженими посадовими особами виконавчого органу сільської, селищної, міської ради, Департаментом соціального захисту населення обласної військової адміністрації (далі – Департамент) розроблені пам’ятки, які направлені територіальним громадам для проведення роз’яснювальної роботи серед мешканців.</w:t>
      </w:r>
    </w:p>
    <w:p w:rsidR="00000000" w:rsidDel="00000000" w:rsidP="00000000" w:rsidRDefault="00000000" w:rsidRPr="00000000" w14:paraId="0000000E">
      <w:pPr>
        <w:spacing w:after="0" w:lineRule="auto"/>
        <w:ind w:firstLine="36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426" w:top="567"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125CDC"/>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125CDC"/>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125CDC"/>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125CDC"/>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125CDC"/>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125CDC"/>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125CDC"/>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125CDC"/>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125CDC"/>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125CDC"/>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125CDC"/>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125CDC"/>
    <w:rPr>
      <w:rFonts w:cstheme="majorBidi" w:eastAsiaTheme="majorEastAsia"/>
      <w:color w:val="272727" w:themeColor="text1" w:themeTint="0000D8"/>
    </w:rPr>
  </w:style>
  <w:style w:type="character" w:styleId="a4" w:customStyle="1">
    <w:name w:val="Заголовок Знак"/>
    <w:basedOn w:val="a0"/>
    <w:link w:val="a3"/>
    <w:uiPriority w:val="10"/>
    <w:rsid w:val="00125CDC"/>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125CDC"/>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125CDC"/>
    <w:pPr>
      <w:spacing w:before="160"/>
      <w:jc w:val="center"/>
    </w:pPr>
    <w:rPr>
      <w:i w:val="1"/>
      <w:iCs w:val="1"/>
      <w:color w:val="404040" w:themeColor="text1" w:themeTint="0000BF"/>
    </w:rPr>
  </w:style>
  <w:style w:type="character" w:styleId="22" w:customStyle="1">
    <w:name w:val="Цитата 2 Знак"/>
    <w:basedOn w:val="a0"/>
    <w:link w:val="21"/>
    <w:uiPriority w:val="29"/>
    <w:rsid w:val="00125CDC"/>
    <w:rPr>
      <w:i w:val="1"/>
      <w:iCs w:val="1"/>
      <w:color w:val="404040" w:themeColor="text1" w:themeTint="0000BF"/>
    </w:rPr>
  </w:style>
  <w:style w:type="paragraph" w:styleId="a7">
    <w:name w:val="List Paragraph"/>
    <w:basedOn w:val="a"/>
    <w:uiPriority w:val="34"/>
    <w:qFormat w:val="1"/>
    <w:rsid w:val="00125CDC"/>
    <w:pPr>
      <w:ind w:left="720"/>
      <w:contextualSpacing w:val="1"/>
    </w:pPr>
  </w:style>
  <w:style w:type="character" w:styleId="a8">
    <w:name w:val="Intense Emphasis"/>
    <w:basedOn w:val="a0"/>
    <w:uiPriority w:val="21"/>
    <w:qFormat w:val="1"/>
    <w:rsid w:val="00125CDC"/>
    <w:rPr>
      <w:i w:val="1"/>
      <w:iCs w:val="1"/>
      <w:color w:val="2f5496" w:themeColor="accent1" w:themeShade="0000BF"/>
    </w:rPr>
  </w:style>
  <w:style w:type="paragraph" w:styleId="a9">
    <w:name w:val="Intense Quote"/>
    <w:basedOn w:val="a"/>
    <w:next w:val="a"/>
    <w:link w:val="aa"/>
    <w:uiPriority w:val="30"/>
    <w:qFormat w:val="1"/>
    <w:rsid w:val="00125CD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a" w:customStyle="1">
    <w:name w:val="Выделенная цитата Знак"/>
    <w:basedOn w:val="a0"/>
    <w:link w:val="a9"/>
    <w:uiPriority w:val="30"/>
    <w:rsid w:val="00125CDC"/>
    <w:rPr>
      <w:i w:val="1"/>
      <w:iCs w:val="1"/>
      <w:color w:val="2f5496" w:themeColor="accent1" w:themeShade="0000BF"/>
    </w:rPr>
  </w:style>
  <w:style w:type="character" w:styleId="ab">
    <w:name w:val="Intense Reference"/>
    <w:basedOn w:val="a0"/>
    <w:uiPriority w:val="32"/>
    <w:qFormat w:val="1"/>
    <w:rsid w:val="00125CDC"/>
    <w:rPr>
      <w:b w:val="1"/>
      <w:bCs w:val="1"/>
      <w:smallCaps w:val="1"/>
      <w:color w:val="2f5496" w:themeColor="accent1" w:themeShade="0000BF"/>
      <w:spacing w:val="5"/>
    </w:rPr>
  </w:style>
  <w:style w:type="character" w:styleId="ac">
    <w:name w:val="Strong"/>
    <w:basedOn w:val="a0"/>
    <w:uiPriority w:val="22"/>
    <w:qFormat w:val="1"/>
    <w:rsid w:val="00F2172F"/>
    <w:rPr>
      <w:b w:val="1"/>
      <w:bCs w:val="1"/>
    </w:rPr>
  </w:style>
  <w:style w:type="character" w:styleId="ad">
    <w:name w:val="Hyperlink"/>
    <w:basedOn w:val="a0"/>
    <w:uiPriority w:val="99"/>
    <w:unhideWhenUsed w:val="1"/>
    <w:rsid w:val="000A31F1"/>
    <w:rPr>
      <w:color w:val="0563c1" w:themeColor="hyperlink"/>
      <w:u w:val="single"/>
    </w:rPr>
  </w:style>
  <w:style w:type="character" w:styleId="ae">
    <w:name w:val="Unresolved Mention"/>
    <w:basedOn w:val="a0"/>
    <w:uiPriority w:val="99"/>
    <w:semiHidden w:val="1"/>
    <w:unhideWhenUsed w:val="1"/>
    <w:rsid w:val="000A31F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2oqCt0ZsI3J/dSxtjnGvADGeXw==">CgMxLjA4AHIhMXRNb0VVd0dlVk9waWdITlJ0VHd2UkV1MFZVb21zNXRQ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2025-10-16T06:28:00Z</dcterms:created>
  <dc:creator>ДСЗН Полтавської ОВА Матуйзо С.В.</dc:creator>
</cp:coreProperties>
</file>